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ind w:rightChars="-162" w:right="-340"/>
        <w:jc w:val="center"/>
        <w:rPr>
          <w:rFonts w:ascii="方正小标宋简体" w:eastAsia="方正小标宋简体" w:cs="Times New Roman"/>
          <w:sz w:val="44"/>
          <w:szCs w:val="44"/>
          <w:shd w:val="solid" w:color="FFFFFF" w:fill="FFFFFF"/>
        </w:rPr>
      </w:pPr>
      <w:r>
        <w:rPr>
          <w:rFonts w:ascii="方正小标宋简体" w:eastAsia="方正小标宋简体" w:cs="Times New Roman"/>
          <w:sz w:val="44"/>
          <w:szCs w:val="44"/>
          <w:shd w:val="solid" w:color="FFFFFF" w:fill="FFFFFF"/>
        </w:rPr>
        <w:t>油菜</w:t>
      </w:r>
      <w:r>
        <w:rPr>
          <w:rFonts w:ascii="方正小标宋简体" w:eastAsia="方正小标宋简体" w:cs="Times New Roman" w:hint="eastAsia"/>
          <w:sz w:val="44"/>
          <w:szCs w:val="44"/>
          <w:shd w:val="solid" w:color="FFFFFF" w:fill="FFFFFF"/>
        </w:rPr>
        <w:t>种植保险方案</w:t>
      </w:r>
    </w:p>
    <w:p>
      <w:pPr>
        <w:spacing w:line="600" w:lineRule="exact"/>
        <w:ind w:rightChars="-162" w:right="-340"/>
        <w:jc w:val="center"/>
        <w:rPr>
          <w:rFonts w:ascii="Times New Roman" w:eastAsia="仿宋_GB2312" w:cs="Times New Roman" w:hAnsi="Times New Roman"/>
          <w:sz w:val="32"/>
          <w:szCs w:val="32"/>
          <w:shd w:val="solid" w:color="FFFFFF" w:fill="FFFFFF"/>
        </w:rPr>
      </w:pPr>
    </w:p>
    <w:p>
      <w:pPr>
        <w:spacing w:line="600" w:lineRule="exact"/>
        <w:ind w:firstLineChars="200" w:firstLine="640"/>
        <w:rPr>
          <w:rFonts w:ascii="黑体" w:eastAsia="黑体" w:cs="Times New Roman"/>
          <w:sz w:val="32"/>
          <w:szCs w:val="32"/>
          <w:shd w:val="solid" w:color="FFFFFF" w:fill="FFFFFF"/>
        </w:rPr>
      </w:pPr>
      <w:r>
        <w:rPr>
          <w:rFonts w:ascii="黑体" w:eastAsia="黑体" w:cs="Times New Roman" w:hint="eastAsia"/>
          <w:sz w:val="32"/>
          <w:szCs w:val="32"/>
          <w:shd w:val="solid" w:color="FFFFFF" w:fill="FFFFFF"/>
        </w:rPr>
        <w:t>一、承保方式</w:t>
      </w:r>
    </w:p>
    <w:p>
      <w:pPr>
        <w:spacing w:line="600" w:lineRule="exact"/>
        <w:ind w:firstLineChars="200" w:firstLine="640"/>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遵循“政府引导、市场运作、自主自愿、协同推进”的基本原则，组织开展油菜种植保险工作。以充分尊重农户投保意愿为前提，对于不愿意投保的农户，不得强制投保；对愿意缴费参保的农户，要做到应保尽保。</w:t>
      </w:r>
    </w:p>
    <w:p>
      <w:pPr>
        <w:spacing w:line="600" w:lineRule="exact"/>
        <w:ind w:firstLineChars="200" w:firstLine="640"/>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1.对油菜种植面积20亩（含）以上的国有农场、农业企业、农民合作社、家庭农场及种植大户可单独投保，实行一户一保单，自缴保费由投保人缴纳；</w:t>
      </w:r>
    </w:p>
    <w:p>
      <w:pPr>
        <w:spacing w:line="600" w:lineRule="exact"/>
        <w:ind w:firstLineChars="200" w:firstLine="640"/>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kern w:val="0"/>
          <w:sz w:val="32"/>
          <w:szCs w:val="32"/>
          <w:shd w:val="solid" w:color="FFFFFF" w:fill="FFFFFF"/>
        </w:rPr>
        <w:t>2.对油菜种植面积20亩（不含）以下的种植户，可单独投保，也可由所在村委会为单位统一参保，实行一村一保单，自缴保费可由村委会统一收取</w:t>
      </w:r>
      <w:r>
        <w:rPr>
          <w:rFonts w:ascii="仿宋_GB2312" w:eastAsia="仿宋_GB2312" w:cs="Times New Roman" w:hint="eastAsia"/>
          <w:color w:val="000000"/>
          <w:kern w:val="0"/>
          <w:sz w:val="32"/>
          <w:szCs w:val="32"/>
          <w:shd w:val="solid" w:color="FFFFFF" w:fill="FFFFFF"/>
        </w:rPr>
        <w:t>。农民合作社或者村民委员会组织统一投保的业务应当制作分户投保清单，由农民合作社或者村民委员会核对盖章确认后，以适当方式进行公示，公示影像资料应能清楚显示拍摄日期。</w:t>
      </w:r>
    </w:p>
    <w:p>
      <w:pPr>
        <w:spacing w:line="600" w:lineRule="exact"/>
        <w:ind w:firstLineChars="200" w:firstLine="640"/>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3.严禁以县（市、区）、乡（镇）为单位统一投保。严禁县（市、区）或乡（镇）政府承担农户应缴的保费；严禁具有返还性质的代垫保费或财政补贴、虚增承保标的、虚假理赔、违规列支经营费用等违法违规行为。</w:t>
      </w:r>
    </w:p>
    <w:p>
      <w:pPr>
        <w:spacing w:line="600" w:lineRule="exact"/>
        <w:ind w:firstLineChars="200" w:firstLine="640"/>
        <w:rPr>
          <w:rFonts w:ascii="Times New Roman" w:eastAsia="仿宋_GB2312" w:cs="Times New Roman" w:hAnsi="Times New Roman"/>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保险机构的业务经营应当严格遵守《保险法》《农业保险条例》《农业保险承保理赔管</w:t>
      </w:r>
      <w:r>
        <w:rPr>
          <w:rFonts w:ascii="Times New Roman" w:eastAsia="仿宋_GB2312" w:cs="Times New Roman" w:hAnsi="Times New Roman"/>
          <w:color w:val="000000"/>
          <w:kern w:val="0"/>
          <w:sz w:val="32"/>
          <w:szCs w:val="32"/>
          <w:shd w:val="solid" w:color="FFFFFF" w:fill="FFFFFF"/>
        </w:rPr>
        <w:t>理暂行办法》等法律法规以及中国银保监会的规定，保证承保理赔档案的真实性、完整性。本方案具体条款与上述法律法规以及中国银保监会的规定不一致之处，以上述保险法律法规以及中国银保监会的规定为准。</w:t>
      </w:r>
    </w:p>
    <w:p>
      <w:pPr>
        <w:pStyle w:val="17"/>
        <w:shd w:val="clear" w:color="auto" w:fill="FFFFFF"/>
        <w:autoSpaceDE w:val="0"/>
        <w:spacing w:before="0" w:beforeAutospacing="0" w:after="0" w:afterAutospacing="0" w:line="600" w:lineRule="exact"/>
        <w:ind w:firstLineChars="200" w:firstLine="640"/>
        <w:jc w:val="both"/>
        <w:rPr>
          <w:rStyle w:val="18"/>
          <w:rFonts w:ascii="黑体" w:eastAsia="黑体"/>
          <w:b w:val="0"/>
          <w:bCs w:val="0"/>
          <w:sz w:val="32"/>
          <w:szCs w:val="32"/>
          <w:shd w:val="solid" w:color="FFFFFF" w:fill="FFFFFF"/>
        </w:rPr>
      </w:pPr>
      <w:r>
        <w:rPr>
          <w:rFonts w:ascii="黑体" w:eastAsia="黑体" w:hint="eastAsia"/>
          <w:sz w:val="32"/>
          <w:szCs w:val="32"/>
          <w:shd w:val="solid" w:color="FFFFFF" w:fill="FFFFFF"/>
        </w:rPr>
        <w:t>二、</w:t>
      </w:r>
      <w:r>
        <w:rPr>
          <w:rStyle w:val="18"/>
          <w:rFonts w:ascii="黑体" w:eastAsia="黑体" w:hint="eastAsia"/>
          <w:b w:val="0"/>
          <w:bCs w:val="0"/>
          <w:sz w:val="32"/>
          <w:szCs w:val="32"/>
          <w:shd w:val="solid" w:color="FFFFFF" w:fill="FFFFFF"/>
        </w:rPr>
        <w:t xml:space="preserve">保险标的 </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shd w:val="solid" w:color="FFFFFF" w:fill="FFFFFF"/>
        </w:rPr>
      </w:pPr>
      <w:r>
        <w:rPr>
          <w:rFonts w:eastAsia="仿宋_GB2312"/>
          <w:sz w:val="32"/>
          <w:szCs w:val="32"/>
          <w:shd w:val="solid" w:color="FFFFFF" w:fill="FFFFFF"/>
        </w:rPr>
        <w:t>同时符合下列条件的油菜可作为保险标的。</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shd w:val="solid" w:color="FFFFFF" w:fill="FFFFFF"/>
        </w:rPr>
      </w:pPr>
      <w:r>
        <w:rPr>
          <w:rFonts w:eastAsia="仿宋_GB2312"/>
          <w:sz w:val="32"/>
          <w:szCs w:val="32"/>
          <w:shd w:val="solid" w:color="FFFFFF" w:fill="FFFFFF"/>
        </w:rPr>
        <w:t>（一）符合普遍采用的种植规范和技术管理要求，</w:t>
      </w:r>
      <w:r>
        <w:rPr>
          <w:rFonts w:ascii="仿宋_GB2312" w:eastAsia="仿宋_GB2312"/>
          <w:sz w:val="32"/>
          <w:szCs w:val="32"/>
        </w:rPr>
        <w:t>且已在当地种植一年以上</w:t>
      </w:r>
      <w:r>
        <w:rPr>
          <w:rFonts w:eastAsia="仿宋_GB2312"/>
          <w:sz w:val="32"/>
          <w:szCs w:val="32"/>
          <w:shd w:val="solid" w:color="FFFFFF" w:fill="FFFFFF"/>
        </w:rPr>
        <w:t>；</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shd w:val="solid" w:color="FFFFFF" w:fill="FFFFFF"/>
        </w:rPr>
      </w:pPr>
      <w:r>
        <w:rPr>
          <w:rFonts w:eastAsia="仿宋_GB2312"/>
          <w:sz w:val="32"/>
          <w:szCs w:val="32"/>
          <w:shd w:val="solid" w:color="FFFFFF" w:fill="FFFFFF"/>
        </w:rPr>
        <w:t>（二）种植地块在当地洪水水位线以上的非蓄洪区和非行洪区；</w:t>
      </w:r>
    </w:p>
    <w:p>
      <w:pPr>
        <w:pStyle w:val="17"/>
        <w:shd w:val="clear" w:color="auto" w:fill="FFFFFF"/>
        <w:autoSpaceDE w:val="0"/>
        <w:spacing w:before="0" w:beforeAutospacing="0" w:after="0" w:afterAutospacing="0" w:line="600" w:lineRule="exact"/>
        <w:ind w:firstLineChars="200" w:firstLine="640"/>
        <w:jc w:val="both"/>
        <w:rPr>
          <w:rStyle w:val="18"/>
          <w:rFonts w:eastAsia="仿宋_GB2312"/>
          <w:b w:val="0"/>
          <w:bCs w:val="0"/>
          <w:color w:val="000000"/>
          <w:sz w:val="32"/>
          <w:szCs w:val="32"/>
          <w:shd w:val="solid" w:color="FFFFFF" w:fill="FFFFFF"/>
        </w:rPr>
      </w:pPr>
      <w:r>
        <w:rPr>
          <w:rFonts w:eastAsia="仿宋_GB2312"/>
          <w:sz w:val="32"/>
          <w:szCs w:val="32"/>
          <w:shd w:val="solid" w:color="FFFFFF" w:fill="FFFFFF"/>
        </w:rPr>
        <w:t>（三）</w:t>
      </w:r>
      <w:r>
        <w:rPr>
          <w:rStyle w:val="18"/>
          <w:rFonts w:eastAsia="仿宋_GB2312"/>
          <w:b w:val="0"/>
          <w:bCs w:val="0"/>
          <w:color w:val="000000"/>
          <w:sz w:val="32"/>
          <w:szCs w:val="32"/>
          <w:shd w:val="solid" w:color="FFFFFF" w:fill="FFFFFF"/>
        </w:rPr>
        <w:t>投保人应将符合上述条件的油菜全部投保，不得选择性投保。</w:t>
      </w:r>
    </w:p>
    <w:p>
      <w:pPr>
        <w:pStyle w:val="17"/>
        <w:shd w:val="clear" w:color="auto" w:fill="FFFFFF"/>
        <w:autoSpaceDE w:val="0"/>
        <w:spacing w:before="0" w:beforeAutospacing="0" w:after="0" w:afterAutospacing="0" w:line="600" w:lineRule="exact"/>
        <w:ind w:firstLineChars="200" w:firstLine="640"/>
        <w:jc w:val="both"/>
        <w:rPr>
          <w:rFonts w:ascii="黑体" w:eastAsia="黑体"/>
          <w:sz w:val="32"/>
          <w:szCs w:val="32"/>
          <w:shd w:val="solid" w:color="FFFFFF" w:fill="FFFFFF"/>
        </w:rPr>
      </w:pPr>
      <w:r>
        <w:rPr>
          <w:rFonts w:ascii="黑体" w:eastAsia="黑体" w:hint="eastAsia"/>
          <w:sz w:val="32"/>
          <w:szCs w:val="32"/>
          <w:shd w:val="solid" w:color="FFFFFF" w:fill="FFFFFF"/>
        </w:rPr>
        <w:t>三、保险责任</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shd w:val="solid" w:color="FFFFFF" w:fill="FFFFFF"/>
        </w:rPr>
      </w:pPr>
      <w:r>
        <w:rPr>
          <w:rFonts w:ascii="仿宋_GB2312" w:eastAsia="仿宋_GB2312" w:hint="eastAsia"/>
          <w:sz w:val="32"/>
          <w:szCs w:val="32"/>
          <w:shd w:val="solid" w:color="FFFFFF" w:fill="FFFFFF"/>
        </w:rPr>
        <w:t>保险期间内，由于下列原因直接造成保险油菜生长受阻、</w:t>
      </w:r>
      <w:r>
        <w:rPr>
          <w:rFonts w:ascii="仿宋_GB2312" w:eastAsia="仿宋_GB2312" w:hint="eastAsia"/>
          <w:color w:val="000000"/>
          <w:sz w:val="32"/>
          <w:szCs w:val="32"/>
          <w:shd w:val="solid" w:color="FFFFFF" w:fill="FFFFFF"/>
        </w:rPr>
        <w:t>死亡以及植株损失率</w:t>
      </w:r>
      <w:r>
        <w:rPr>
          <w:rFonts w:ascii="仿宋_GB2312" w:eastAsia="仿宋_GB2312" w:hint="eastAsia"/>
          <w:sz w:val="32"/>
          <w:szCs w:val="32"/>
          <w:shd w:val="solid" w:color="FFFFFF" w:fill="FFFFFF"/>
        </w:rPr>
        <w:t>达30%以上，承保公司按照保险合同的约定负责赔偿。</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shd w:val="solid" w:color="FFFFFF" w:fill="FFFFFF"/>
        </w:rPr>
      </w:pPr>
      <w:r>
        <w:rPr>
          <w:rFonts w:ascii="仿宋_GB2312" w:eastAsia="仿宋_GB2312" w:hint="eastAsia"/>
          <w:sz w:val="32"/>
          <w:szCs w:val="32"/>
          <w:shd w:val="solid" w:color="FFFFFF" w:fill="FFFFFF"/>
        </w:rPr>
        <w:t>（一）暴雨、洪水（政府行蓄洪除外）、内涝、风灾、雹灾、冻灾、雷击、暴雪、地震等自然灾害；</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shd w:val="solid" w:color="FFFFFF" w:fill="FFFFFF"/>
        </w:rPr>
      </w:pPr>
      <w:r>
        <w:rPr>
          <w:rFonts w:ascii="仿宋_GB2312" w:eastAsia="仿宋_GB2312" w:hint="eastAsia"/>
          <w:sz w:val="32"/>
          <w:szCs w:val="32"/>
          <w:shd w:val="solid" w:color="FFFFFF" w:fill="FFFFFF"/>
        </w:rPr>
        <w:t>（二）火灾、泥石流、山体滑坡以及空中运行物体坠落等意外事故；</w:t>
      </w:r>
    </w:p>
    <w:p>
      <w:pPr>
        <w:pStyle w:val="17"/>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shd w:val="solid" w:color="FFFFFF" w:fill="FFFFFF"/>
        </w:rPr>
      </w:pPr>
      <w:r>
        <w:rPr>
          <w:rFonts w:ascii="仿宋_GB2312" w:eastAsia="仿宋_GB2312" w:hint="eastAsia"/>
          <w:sz w:val="32"/>
          <w:szCs w:val="32"/>
          <w:shd w:val="solid" w:color="FFFFFF" w:fill="FFFFFF"/>
        </w:rPr>
        <w:t>（三）旱灾、病虫草鼠害、</w:t>
      </w:r>
      <w:r>
        <w:rPr>
          <w:rFonts w:ascii="仿宋_GB2312" w:eastAsia="仿宋_GB2312" w:hint="eastAsia"/>
          <w:sz w:val="32"/>
          <w:szCs w:val="32"/>
        </w:rPr>
        <w:t>野猪危害</w:t>
      </w:r>
      <w:r>
        <w:rPr>
          <w:rFonts w:ascii="仿宋_GB2312" w:eastAsia="仿宋_GB2312" w:hint="eastAsia"/>
          <w:sz w:val="32"/>
          <w:szCs w:val="32"/>
          <w:shd w:val="solid" w:color="FFFFFF" w:fill="FFFFFF"/>
        </w:rPr>
        <w:t>。</w:t>
      </w:r>
    </w:p>
    <w:p>
      <w:pPr>
        <w:pStyle w:val="17"/>
        <w:shd w:val="clear" w:color="auto" w:fill="FFFFFF"/>
        <w:autoSpaceDE w:val="0"/>
        <w:spacing w:before="0" w:beforeAutospacing="0" w:after="0" w:afterAutospacing="0" w:line="600" w:lineRule="exact"/>
        <w:ind w:firstLineChars="200" w:firstLine="640"/>
        <w:jc w:val="both"/>
        <w:rPr>
          <w:rStyle w:val="18"/>
          <w:rFonts w:ascii="黑体" w:eastAsia="黑体"/>
          <w:b w:val="0"/>
          <w:bCs w:val="0"/>
          <w:sz w:val="32"/>
          <w:szCs w:val="32"/>
          <w:shd w:val="solid" w:color="FFFFFF" w:fill="FFFFFF"/>
        </w:rPr>
      </w:pPr>
      <w:r>
        <w:rPr>
          <w:rStyle w:val="18"/>
          <w:rFonts w:ascii="黑体" w:eastAsia="黑体" w:hint="eastAsia"/>
          <w:b w:val="0"/>
          <w:bCs w:val="0"/>
          <w:sz w:val="32"/>
          <w:szCs w:val="32"/>
          <w:shd w:val="solid" w:color="FFFFFF" w:fill="FFFFFF"/>
        </w:rPr>
        <w:t>四、保险金额、费率及保险费</w:t>
      </w:r>
    </w:p>
    <w:p>
      <w:pPr>
        <w:pStyle w:val="19"/>
        <w:widowControl w:val="0"/>
        <w:shd w:val="clear" w:color="auto" w:fill="FFFFFF"/>
        <w:autoSpaceDE w:val="0"/>
        <w:spacing w:after="0" w:line="600" w:lineRule="exact"/>
        <w:ind w:firstLineChars="200" w:firstLine="640"/>
        <w:jc w:val="both"/>
        <w:rPr>
          <w:rStyle w:val="18"/>
          <w:rFonts w:eastAsia="仿宋_GB2312"/>
          <w:sz w:val="32"/>
          <w:szCs w:val="32"/>
          <w:shd w:val="solid" w:color="FFFFFF" w:fill="FFFFFF"/>
          <w:lang w:eastAsia="zh-CN"/>
        </w:rPr>
      </w:pPr>
      <w:r>
        <w:rPr>
          <w:rFonts w:ascii="Times New Roman" w:eastAsia="仿宋_GB2312" w:hAnsi="Times New Roman"/>
          <w:sz w:val="32"/>
          <w:szCs w:val="32"/>
          <w:shd w:val="solid" w:color="FFFFFF" w:fill="FFFFFF"/>
          <w:lang w:eastAsia="zh-CN"/>
        </w:rPr>
        <w:t>保险公司应科学合理地确定保险费率、与投保人协商确定保</w:t>
      </w:r>
      <w:r>
        <w:rPr>
          <w:rFonts w:ascii="仿宋_GB2312" w:eastAsia="仿宋_GB2312" w:hint="eastAsia"/>
          <w:sz w:val="32"/>
          <w:szCs w:val="32"/>
          <w:shd w:val="solid" w:color="FFFFFF" w:fill="FFFFFF"/>
          <w:lang w:eastAsia="zh-CN"/>
        </w:rPr>
        <w:t>险金额，并在保险单中载明。各级财政对最高不超过4%（含）的保险费率、最高不超过每亩保险金额300元（含）的标准予以保费补贴，其中，中央财政补贴35%，省级财政补贴35%，市、县两级财政补贴10%，农户承担20%。鼓励各保险公司开设商业保险叠加，所需保费全部由种植户承担。</w:t>
      </w:r>
    </w:p>
    <w:p>
      <w:pPr>
        <w:pStyle w:val="17"/>
        <w:shd w:val="clear" w:color="auto" w:fill="FFFFFF"/>
        <w:autoSpaceDE w:val="0"/>
        <w:spacing w:before="0" w:beforeAutospacing="0" w:after="0" w:afterAutospacing="0" w:line="600" w:lineRule="exact"/>
        <w:ind w:firstLineChars="200" w:firstLine="640"/>
        <w:jc w:val="both"/>
        <w:rPr>
          <w:rStyle w:val="18"/>
          <w:rFonts w:ascii="黑体" w:eastAsia="黑体"/>
          <w:b w:val="0"/>
          <w:bCs w:val="0"/>
          <w:sz w:val="32"/>
          <w:szCs w:val="32"/>
          <w:shd w:val="solid" w:color="FFFFFF" w:fill="FFFFFF"/>
        </w:rPr>
      </w:pPr>
      <w:r>
        <w:rPr>
          <w:rStyle w:val="18"/>
          <w:rFonts w:ascii="黑体" w:eastAsia="黑体" w:hint="eastAsia"/>
          <w:b w:val="0"/>
          <w:bCs w:val="0"/>
          <w:sz w:val="32"/>
          <w:szCs w:val="32"/>
          <w:shd w:val="solid" w:color="FFFFFF" w:fill="FFFFFF"/>
        </w:rPr>
        <w:t>五、保险期限</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shd w:val="solid" w:color="FFFFFF" w:fill="FFFFFF"/>
        </w:rPr>
      </w:pPr>
      <w:r>
        <w:rPr>
          <w:rFonts w:eastAsia="仿宋_GB2312"/>
          <w:sz w:val="32"/>
          <w:szCs w:val="32"/>
          <w:shd w:val="solid" w:color="FFFFFF" w:fill="FFFFFF"/>
        </w:rPr>
        <w:t>自保险油菜移栽定苗或直播出苗时开始，至油菜成熟收获离开田间时止，但不得超出保险单写明的保险期间范围。</w:t>
      </w:r>
    </w:p>
    <w:p>
      <w:pPr>
        <w:pStyle w:val="17"/>
        <w:shd w:val="clear" w:color="auto" w:fill="FFFFFF"/>
        <w:autoSpaceDE w:val="0"/>
        <w:spacing w:before="0" w:beforeAutospacing="0" w:after="0" w:afterAutospacing="0" w:line="600" w:lineRule="exact"/>
        <w:ind w:firstLineChars="200" w:firstLine="640"/>
        <w:jc w:val="both"/>
        <w:rPr>
          <w:rFonts w:ascii="黑体" w:eastAsia="黑体"/>
          <w:sz w:val="32"/>
          <w:szCs w:val="32"/>
          <w:shd w:val="solid" w:color="FFFFFF" w:fill="FFFFFF"/>
        </w:rPr>
      </w:pPr>
      <w:r>
        <w:rPr>
          <w:rFonts w:ascii="黑体" w:eastAsia="黑体" w:hint="eastAsia"/>
          <w:sz w:val="32"/>
          <w:szCs w:val="32"/>
          <w:shd w:val="solid" w:color="FFFFFF" w:fill="FFFFFF"/>
        </w:rPr>
        <w:t>六、承保公司</w:t>
      </w:r>
    </w:p>
    <w:p>
      <w:pPr>
        <w:pStyle w:val="17"/>
        <w:shd w:val="clear" w:color="auto" w:fill="FFFFFF"/>
        <w:autoSpaceDE w:val="0"/>
        <w:spacing w:before="0" w:beforeAutospacing="0" w:after="0" w:afterAutospacing="0" w:line="600" w:lineRule="exact"/>
        <w:ind w:firstLineChars="200" w:firstLine="640"/>
        <w:jc w:val="both"/>
        <w:rPr>
          <w:rFonts w:ascii="黑体" w:eastAsia="黑体"/>
          <w:sz w:val="32"/>
          <w:szCs w:val="32"/>
          <w:shd w:val="solid" w:color="FFFFFF" w:fill="FFFFFF"/>
        </w:rPr>
      </w:pPr>
      <w:r>
        <w:rPr>
          <w:rFonts w:ascii="仿宋_GB2312" w:eastAsia="仿宋_GB2312"/>
          <w:sz w:val="32"/>
          <w:szCs w:val="32"/>
        </w:rPr>
        <w:t>符合福建银保监局辖内农业保险业务经营条件的保险机构可经营本险种。</w:t>
      </w:r>
    </w:p>
    <w:p>
      <w:pPr>
        <w:pStyle w:val="17"/>
        <w:shd w:val="clear" w:color="auto" w:fill="FFFFFF"/>
        <w:autoSpaceDE w:val="0"/>
        <w:spacing w:before="0" w:beforeAutospacing="0" w:after="0" w:afterAutospacing="0" w:line="600" w:lineRule="exact"/>
        <w:ind w:firstLineChars="200" w:firstLine="640"/>
        <w:jc w:val="both"/>
        <w:rPr>
          <w:rFonts w:ascii="黑体" w:eastAsia="黑体"/>
          <w:sz w:val="32"/>
          <w:szCs w:val="32"/>
          <w:shd w:val="solid" w:color="FFFFFF" w:fill="FFFFFF"/>
        </w:rPr>
      </w:pPr>
      <w:r>
        <w:rPr>
          <w:rFonts w:ascii="黑体" w:eastAsia="黑体" w:hint="eastAsia"/>
          <w:sz w:val="32"/>
          <w:szCs w:val="32"/>
          <w:shd w:val="solid" w:color="FFFFFF" w:fill="FFFFFF"/>
        </w:rPr>
        <w:t>七、赔偿处理</w:t>
      </w:r>
    </w:p>
    <w:p>
      <w:pPr>
        <w:snapToGrid w:val="0"/>
        <w:spacing w:line="600" w:lineRule="exact"/>
        <w:ind w:rightChars="-162" w:right="-340" w:firstLineChars="200" w:firstLine="640"/>
        <w:jc w:val="left"/>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 xml:space="preserve">保险期间内，保险油菜发生保险责任范围内的损失，保险人按以下方式计算赔偿： </w:t>
      </w:r>
    </w:p>
    <w:p>
      <w:pPr>
        <w:widowControl/>
        <w:spacing w:line="600" w:lineRule="exact"/>
        <w:ind w:rightChars="-162" w:right="-340" w:firstLine="640"/>
        <w:jc w:val="left"/>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赔偿金额=不同生长期的最高赔偿标准×损失率×受损面积</w:t>
      </w:r>
    </w:p>
    <w:p>
      <w:pPr>
        <w:widowControl/>
        <w:spacing w:line="600" w:lineRule="exact"/>
        <w:ind w:rightChars="-162" w:right="-340" w:firstLine="640"/>
        <w:jc w:val="left"/>
        <w:rPr>
          <w:rFonts w:ascii="仿宋_GB2312" w:eastAsia="仿宋_GB2312" w:cs="Times New Roman" w:hint="eastAsia"/>
          <w:kern w:val="0"/>
          <w:sz w:val="32"/>
          <w:szCs w:val="32"/>
        </w:rPr>
      </w:pPr>
      <w:r>
        <w:rPr>
          <w:rFonts w:ascii="仿宋_GB2312" w:eastAsia="仿宋_GB2312" w:cs="Times New Roman" w:hint="eastAsia"/>
          <w:kern w:val="0"/>
          <w:sz w:val="32"/>
          <w:szCs w:val="32"/>
        </w:rPr>
        <w:t>损失率=单位面积植株损失数量（或平均损失产量）/单位面积平均植株数量（或平均正常产量）。</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ascii="仿宋_GB2312" w:eastAsia="仿宋_GB2312" w:hint="eastAsia"/>
          <w:sz w:val="32"/>
          <w:szCs w:val="32"/>
        </w:rPr>
        <w:t>单位面积植株平均数量依据当地政府确定的符合当地普遍采用的种植规范标准和技术</w:t>
      </w:r>
      <w:r>
        <w:rPr>
          <w:rFonts w:eastAsia="仿宋_GB2312"/>
          <w:sz w:val="32"/>
          <w:szCs w:val="32"/>
        </w:rPr>
        <w:t>管理要求的植株数量；单位面积平均正常产量根据当地油菜该品种或同类型品种近三年平均产量，由投保人与保险人在投保时协商确定，并在保险单中载明。已发生部分采摘的，在计算单位面积平均损失产量时应扣除已采摘的部分。</w:t>
      </w:r>
    </w:p>
    <w:p>
      <w:pPr>
        <w:spacing w:line="530" w:lineRule="exact"/>
        <w:ind w:rightChars="-162" w:right="-340"/>
        <w:jc w:val="center"/>
        <w:rPr>
          <w:rFonts w:ascii="仿宋_GB2312" w:eastAsia="仿宋_GB2312" w:cs="Times New Roman" w:hint="eastAsia"/>
          <w:b/>
          <w:bCs/>
          <w:sz w:val="32"/>
          <w:szCs w:val="32"/>
          <w:shd w:val="solid" w:color="FFFFFF" w:fill="FFFFFF"/>
        </w:rPr>
      </w:pPr>
      <w:r>
        <w:rPr>
          <w:rFonts w:ascii="仿宋_GB2312" w:eastAsia="仿宋_GB2312" w:cs="Times New Roman" w:hint="eastAsia"/>
          <w:b/>
          <w:bCs/>
          <w:sz w:val="32"/>
          <w:szCs w:val="32"/>
          <w:shd w:val="solid" w:color="FFFFFF" w:fill="FFFFFF"/>
        </w:rPr>
        <w:t>保险油菜种植损失率的赔偿比例</w:t>
      </w:r>
    </w:p>
    <w:tbl>
      <w:tblPr>
        <w:jc w:val="center"/>
        <w:tblW w:w="80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685"/>
        <w:gridCol w:w="4366"/>
      </w:tblGrid>
      <w:tr>
        <w:trPr>
          <w:trHeight w:val="135"/>
        </w:trPr>
        <w:tc>
          <w:tcPr>
            <w:tcW w:w="36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损失率</w:t>
            </w:r>
          </w:p>
        </w:tc>
        <w:tc>
          <w:tcPr>
            <w:tcW w:w="4366" w:type="dxa"/>
            <w:tcBorders>
              <w:top w:val="single" w:sz="4" w:space="0" w:color="auto"/>
              <w:left w:val="nil"/>
              <w:bottom w:val="single" w:sz="4" w:space="0" w:color="auto"/>
              <w:right w:val="single" w:sz="4" w:space="0" w:color="auto"/>
            </w:tcBorders>
            <w:vAlign w:val="center"/>
          </w:tcPr>
          <w:p>
            <w:pPr>
              <w:adjustRightInd w:val="0"/>
              <w:snapToGrid w:val="0"/>
              <w:spacing w:line="600" w:lineRule="exact"/>
              <w:ind w:rightChars="-162" w:right="-340" w:firstLineChars="10" w:firstLine="32"/>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赔偿比例</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30%以下</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不负赔偿责任</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30%（含）-50%</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50%</w:t>
            </w:r>
          </w:p>
        </w:tc>
      </w:tr>
      <w:tr>
        <w:trPr>
          <w:trHeight w:val="134"/>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50%（含）-80%</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80%</w:t>
            </w:r>
          </w:p>
        </w:tc>
      </w:tr>
      <w:tr>
        <w:trPr>
          <w:trHeight w:val="133"/>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80%（含）以上</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100%</w:t>
            </w:r>
          </w:p>
        </w:tc>
      </w:tr>
    </w:tbl>
    <w:p>
      <w:pPr>
        <w:spacing w:line="530" w:lineRule="exact"/>
        <w:ind w:rightChars="-162" w:right="-340"/>
        <w:jc w:val="center"/>
        <w:rPr>
          <w:rFonts w:ascii="仿宋_GB2312" w:eastAsia="仿宋_GB2312" w:cs="Times New Roman"/>
          <w:b/>
          <w:bCs/>
          <w:sz w:val="32"/>
          <w:szCs w:val="32"/>
          <w:shd w:val="solid" w:color="FFFFFF" w:fill="FFFFFF"/>
        </w:rPr>
      </w:pPr>
    </w:p>
    <w:p>
      <w:pPr>
        <w:spacing w:line="530" w:lineRule="exact"/>
        <w:ind w:rightChars="-162" w:right="-340"/>
        <w:jc w:val="center"/>
        <w:rPr>
          <w:rFonts w:ascii="仿宋_GB2312" w:eastAsia="仿宋_GB2312" w:cs="Times New Roman" w:hint="eastAsia"/>
          <w:b/>
          <w:bCs/>
          <w:sz w:val="32"/>
          <w:szCs w:val="32"/>
          <w:shd w:val="solid" w:color="FFFFFF" w:fill="FFFFFF"/>
        </w:rPr>
      </w:pPr>
      <w:r>
        <w:rPr>
          <w:rFonts w:ascii="仿宋_GB2312" w:eastAsia="仿宋_GB2312" w:cs="Times New Roman" w:hint="eastAsia"/>
          <w:b/>
          <w:bCs/>
          <w:sz w:val="32"/>
          <w:szCs w:val="32"/>
          <w:shd w:val="solid" w:color="FFFFFF" w:fill="FFFFFF"/>
        </w:rPr>
        <w:t>保险油菜不同生长期每亩最高赔偿比例</w:t>
      </w:r>
    </w:p>
    <w:tbl>
      <w:tblPr>
        <w:jc w:val="center"/>
        <w:tblW w:w="80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685"/>
        <w:gridCol w:w="4366"/>
      </w:tblGrid>
      <w:tr>
        <w:trPr>
          <w:trHeight w:val="135"/>
        </w:trPr>
        <w:tc>
          <w:tcPr>
            <w:tcW w:w="36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生长期</w:t>
            </w:r>
          </w:p>
        </w:tc>
        <w:tc>
          <w:tcPr>
            <w:tcW w:w="4366" w:type="dxa"/>
            <w:tcBorders>
              <w:top w:val="single" w:sz="4" w:space="0" w:color="auto"/>
              <w:left w:val="nil"/>
              <w:bottom w:val="single" w:sz="4" w:space="0" w:color="auto"/>
              <w:right w:val="single" w:sz="4" w:space="0" w:color="auto"/>
            </w:tcBorders>
            <w:vAlign w:val="center"/>
          </w:tcPr>
          <w:p>
            <w:pPr>
              <w:adjustRightInd w:val="0"/>
              <w:snapToGrid w:val="0"/>
              <w:spacing w:line="600" w:lineRule="exact"/>
              <w:ind w:rightChars="-162" w:right="-340" w:firstLineChars="10" w:firstLine="32"/>
              <w:jc w:val="left"/>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每亩最高赔偿标准</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苗期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每亩保险金额×50%</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蕾薹期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每亩保险金额×65%</w:t>
            </w:r>
          </w:p>
        </w:tc>
      </w:tr>
      <w:tr>
        <w:trPr>
          <w:trHeight w:val="134"/>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开花期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每亩保险金额×80%</w:t>
            </w:r>
          </w:p>
        </w:tc>
      </w:tr>
      <w:tr>
        <w:trPr>
          <w:trHeight w:val="133"/>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jc w:val="center"/>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成熟期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left"/>
              <w:textAlignment w:val="baseline"/>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每亩保险金额×100%</w:t>
            </w:r>
          </w:p>
        </w:tc>
      </w:tr>
    </w:tbl>
    <w:p>
      <w:pPr>
        <w:spacing w:line="590" w:lineRule="exact"/>
        <w:ind w:firstLineChars="200" w:firstLine="640"/>
        <w:rPr>
          <w:rFonts w:ascii="仿宋_GB2312" w:eastAsia="仿宋_GB2312" w:cs="Times New Roman" w:hint="eastAsia"/>
          <w:kern w:val="0"/>
          <w:sz w:val="32"/>
          <w:szCs w:val="32"/>
          <w:shd w:val="solid" w:color="FFFFFF" w:fill="FFFFFF"/>
        </w:rPr>
      </w:pPr>
      <w:r>
        <w:rPr>
          <w:rFonts w:ascii="仿宋_GB2312" w:eastAsia="仿宋_GB2312" w:cs="Times New Roman" w:hint="eastAsia"/>
          <w:kern w:val="0"/>
          <w:sz w:val="32"/>
          <w:szCs w:val="32"/>
          <w:shd w:val="solid" w:color="FFFFFF" w:fill="FFFFFF"/>
        </w:rPr>
        <w:t>在发生损失后难以立即确定损失的情况下，实行二次（或多次）定损。第一次定损先将灾情和初步定损结果记录在案，经一定时间观察期后二次（或多次）定损，以最终确定损失程度。</w:t>
      </w:r>
    </w:p>
    <w:p>
      <w:pPr>
        <w:spacing w:line="590" w:lineRule="exact"/>
        <w:ind w:firstLineChars="200" w:firstLine="640"/>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承保公司接到出险报案后，会同承保户和有关技术人员共同前往查勘定损，也可采用投保和承保双方都认可的第三方机构评估确定。承保公司在损失确定后10日内，将保险赔款汇往被保险人账户。</w:t>
      </w:r>
    </w:p>
    <w:p>
      <w:pPr>
        <w:spacing w:line="590" w:lineRule="exact"/>
        <w:ind w:firstLineChars="200" w:firstLine="640"/>
        <w:rPr>
          <w:rFonts w:ascii="黑体" w:eastAsia="黑体" w:cs="Times New Roman" w:hint="eastAsia"/>
          <w:color w:val="000000"/>
          <w:kern w:val="0"/>
          <w:sz w:val="32"/>
          <w:szCs w:val="32"/>
          <w:shd w:val="solid" w:color="FFFFFF" w:fill="FFFFFF"/>
        </w:rPr>
      </w:pPr>
      <w:r>
        <w:rPr>
          <w:rFonts w:ascii="黑体" w:eastAsia="黑体" w:cs="Times New Roman" w:hint="eastAsia"/>
          <w:color w:val="000000"/>
          <w:kern w:val="0"/>
          <w:sz w:val="32"/>
          <w:szCs w:val="32"/>
          <w:shd w:val="solid" w:color="FFFFFF" w:fill="FFFFFF"/>
        </w:rPr>
        <w:t>八、资金拨付</w:t>
      </w:r>
    </w:p>
    <w:p>
      <w:pPr>
        <w:spacing w:line="600" w:lineRule="exact"/>
        <w:ind w:firstLineChars="200" w:firstLine="640"/>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各市、县（区）财政部门要及时落实应承担的油菜保险保费补贴资金，并列入同级预算。各设区市财政局请于当年5月底前将市、县两级财政各自承担比例报省财政厅备案。</w:t>
      </w:r>
    </w:p>
    <w:p>
      <w:pPr>
        <w:spacing w:line="600" w:lineRule="exact"/>
        <w:ind w:firstLineChars="200" w:firstLine="640"/>
        <w:rPr>
          <w:rFonts w:ascii="仿宋_GB2312" w:eastAsia="仿宋_GB2312" w:cs="Times New Roman"/>
          <w:sz w:val="32"/>
          <w:szCs w:val="32"/>
        </w:rPr>
      </w:pPr>
      <w:r>
        <w:rPr>
          <w:rFonts w:ascii="仿宋_GB2312" w:eastAsia="仿宋_GB2312" w:cs="仿宋" w:hint="eastAsia"/>
          <w:sz w:val="32"/>
          <w:szCs w:val="32"/>
        </w:rPr>
        <w:t>设区市、平潭综合实验区相关部门汇总审核本行政区域内保费补贴申请后，于次年1月10日前完成材料报送，省农业农村厅、省财政厅和相关保险机构省级分公司于次年1月底前完成会审。会审通过后，由省农业农村厅出具审核意见函，省财政厅负责核拨中央和省级财政保费补贴资金给相关保险机构省级分公司。</w:t>
      </w:r>
    </w:p>
    <w:p>
      <w:pPr>
        <w:spacing w:line="600" w:lineRule="exact"/>
        <w:ind w:firstLineChars="200" w:firstLine="640"/>
        <w:rPr>
          <w:rFonts w:ascii="黑体" w:eastAsia="黑体" w:cs="Times New Roman" w:hint="eastAsia"/>
          <w:sz w:val="32"/>
          <w:szCs w:val="32"/>
          <w:shd w:val="solid" w:color="FFFFFF" w:fill="FFFFFF"/>
        </w:rPr>
      </w:pPr>
      <w:r>
        <w:rPr>
          <w:rFonts w:ascii="黑体" w:eastAsia="黑体" w:cs="Times New Roman" w:hint="eastAsia"/>
          <w:sz w:val="32"/>
          <w:szCs w:val="32"/>
          <w:shd w:val="solid" w:color="FFFFFF" w:fill="FFFFFF"/>
        </w:rPr>
        <w:t>九、其他要求</w:t>
      </w:r>
    </w:p>
    <w:p>
      <w:pPr>
        <w:widowControl/>
        <w:spacing w:line="600" w:lineRule="exact"/>
        <w:ind w:firstLineChars="200" w:firstLine="640"/>
        <w:jc w:val="left"/>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1.承保公司要进一步规范运作，简化理赔程序，加快查勘和理赔速度，提高服务水平，为广大参保的经营主体提供更加优质便捷的服务。</w:t>
      </w:r>
      <w:r>
        <w:rPr>
          <w:rFonts w:ascii="仿宋_GB2312" w:eastAsia="仿宋_GB2312" w:cs="Times New Roman" w:hint="eastAsia"/>
          <w:sz w:val="32"/>
          <w:szCs w:val="32"/>
        </w:rPr>
        <w:t>保险机构可以委托基层政府部门和农业技术推广等相关单位协助办理农业保险业务，签订书面合同，明确双方权利义务，约定费用支出，并对协助办理农业保险业务的机构进行业务指导。</w:t>
      </w:r>
    </w:p>
    <w:p>
      <w:pPr>
        <w:tabs>
          <w:tab w:val="left" w:pos="8753"/>
        </w:tabs>
        <w:snapToGrid w:val="0"/>
        <w:spacing w:line="600" w:lineRule="exact"/>
        <w:ind w:firstLineChars="200" w:firstLine="640"/>
        <w:rPr>
          <w:rFonts w:ascii="仿宋_GB2312" w:eastAsia="仿宋_GB2312" w:cs="Times New Roman" w:hint="eastAsia"/>
          <w:sz w:val="32"/>
          <w:szCs w:val="32"/>
          <w:shd w:val="solid" w:color="FFFFFF" w:fill="FFFFFF"/>
        </w:rPr>
      </w:pPr>
      <w:r>
        <w:rPr>
          <w:rFonts w:ascii="仿宋_GB2312" w:eastAsia="仿宋_GB2312" w:cs="Times New Roman" w:hint="eastAsia"/>
          <w:color w:val="000000"/>
          <w:kern w:val="0"/>
          <w:sz w:val="32"/>
          <w:szCs w:val="32"/>
          <w:shd w:val="solid" w:color="FFFFFF" w:fill="FFFFFF"/>
        </w:rPr>
        <w:t>2.</w:t>
      </w:r>
      <w:r>
        <w:rPr>
          <w:rFonts w:ascii="仿宋_GB2312" w:eastAsia="仿宋_GB2312" w:cs="Times New Roman" w:hint="eastAsia"/>
          <w:color w:val="000000"/>
          <w:kern w:val="0"/>
          <w:sz w:val="32"/>
          <w:szCs w:val="32"/>
        </w:rPr>
        <w:t>省级以上</w:t>
      </w:r>
      <w:r>
        <w:rPr>
          <w:rFonts w:ascii="仿宋_GB2312" w:eastAsia="仿宋_GB2312" w:cs="仿宋" w:hint="eastAsia"/>
          <w:bCs/>
          <w:sz w:val="32"/>
          <w:szCs w:val="32"/>
        </w:rPr>
        <w:t>财政补贴资金由</w:t>
      </w:r>
      <w:r>
        <w:rPr>
          <w:rFonts w:ascii="仿宋_GB2312" w:eastAsia="仿宋_GB2312" w:cs="仿宋" w:hint="eastAsia"/>
          <w:sz w:val="32"/>
          <w:szCs w:val="32"/>
        </w:rPr>
        <w:t>各县（市、区）财政局、农业农村局、保险承保机构联合会审逐级向省财政厅、农业农村厅和相关保险机构省级分公司申请，</w:t>
      </w:r>
      <w:r>
        <w:rPr>
          <w:rFonts w:ascii="仿宋_GB2312" w:eastAsia="仿宋_GB2312" w:cs="Times New Roman" w:hint="eastAsia"/>
          <w:sz w:val="32"/>
          <w:szCs w:val="32"/>
        </w:rPr>
        <w:t>并附以下材料：</w:t>
      </w:r>
      <w:r>
        <w:rPr>
          <w:rFonts w:ascii="仿宋_GB2312" w:eastAsia="仿宋_GB2312" w:cs="Times New Roman" w:hint="eastAsia"/>
          <w:sz w:val="32"/>
          <w:szCs w:val="32"/>
          <w:shd w:val="solid" w:color="FFFFFF" w:fill="FFFFFF"/>
        </w:rPr>
        <w:t>1.补贴申请报告</w:t>
      </w:r>
      <w:r>
        <w:rPr>
          <w:rFonts w:ascii="仿宋_GB2312" w:eastAsia="仿宋_GB2312" w:cs="Times New Roman" w:hint="eastAsia"/>
          <w:sz w:val="32"/>
          <w:szCs w:val="32"/>
        </w:rPr>
        <w:t>（农业、财政、保险三家联文）</w:t>
      </w:r>
      <w:r>
        <w:rPr>
          <w:rFonts w:ascii="仿宋_GB2312" w:eastAsia="仿宋_GB2312" w:cs="Times New Roman" w:hint="eastAsia"/>
          <w:sz w:val="32"/>
          <w:szCs w:val="32"/>
          <w:shd w:val="solid" w:color="FFFFFF" w:fill="FFFFFF"/>
        </w:rPr>
        <w:t>。2.市、县（区）财政安排的保费补贴文件和拨付保费凭证复印件。3.保险单复印件，加盖公章的各县（市、区）投保汇总表（附件1）、统计表（附件2）及明细表（附件3）电子文档。各县（市、区）保险支公司应留存保险合同（保单）和保费收据等原件备查。</w:t>
      </w:r>
    </w:p>
    <w:p>
      <w:pPr>
        <w:spacing w:line="600" w:lineRule="exact"/>
        <w:ind w:firstLineChars="200" w:firstLine="640"/>
        <w:jc w:val="left"/>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以后年度，如果我省油菜种植保险政策未变动，则继续按本通知执行，不再另行下文。</w:t>
      </w:r>
    </w:p>
    <w:p>
      <w:pPr>
        <w:widowControl/>
        <w:spacing w:line="600" w:lineRule="exact"/>
        <w:ind w:leftChars="304" w:left="638"/>
        <w:jc w:val="left"/>
        <w:rPr>
          <w:rFonts w:ascii="仿宋_GB2312" w:eastAsia="仿宋_GB2312" w:cs="Times New Roman" w:hint="eastAsia"/>
          <w:color w:val="000000"/>
          <w:kern w:val="0"/>
          <w:sz w:val="32"/>
          <w:szCs w:val="32"/>
          <w:shd w:val="solid" w:color="FFFFFF" w:fill="FFFFFF"/>
        </w:rPr>
      </w:pPr>
    </w:p>
    <w:p>
      <w:pPr>
        <w:widowControl/>
        <w:spacing w:line="600" w:lineRule="exact"/>
        <w:ind w:leftChars="304" w:left="638"/>
        <w:jc w:val="left"/>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附件：1.油菜种植保险投保汇总表</w:t>
      </w:r>
    </w:p>
    <w:p>
      <w:pPr>
        <w:widowControl/>
        <w:spacing w:line="600" w:lineRule="exact"/>
        <w:ind w:left="1920" w:hangingChars="600" w:hanging="1920"/>
        <w:jc w:val="left"/>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 xml:space="preserve">          2.油菜种植保险投保统计表</w:t>
      </w:r>
    </w:p>
    <w:p>
      <w:pPr>
        <w:widowControl/>
        <w:spacing w:line="600" w:lineRule="exact"/>
        <w:ind w:left="1920" w:hangingChars="600" w:hanging="1920"/>
        <w:jc w:val="left"/>
        <w:rPr>
          <w:rFonts w:ascii="仿宋_GB2312" w:eastAsia="仿宋_GB2312" w:cs="Times New Roman" w:hint="eastAsia"/>
          <w:color w:val="000000"/>
          <w:kern w:val="0"/>
          <w:sz w:val="32"/>
          <w:szCs w:val="32"/>
          <w:shd w:val="solid" w:color="FFFFFF" w:fill="FFFFFF"/>
        </w:rPr>
      </w:pPr>
      <w:r>
        <w:rPr>
          <w:rFonts w:ascii="仿宋_GB2312" w:eastAsia="仿宋_GB2312" w:cs="Times New Roman" w:hint="eastAsia"/>
          <w:color w:val="000000"/>
          <w:kern w:val="0"/>
          <w:sz w:val="32"/>
          <w:szCs w:val="32"/>
          <w:shd w:val="solid" w:color="FFFFFF" w:fill="FFFFFF"/>
        </w:rPr>
        <w:t xml:space="preserve">          3.油菜种植保险投保人明细表</w:t>
      </w:r>
    </w:p>
    <w:p>
      <w:pPr>
        <w:widowControl/>
        <w:spacing w:line="600" w:lineRule="exact"/>
        <w:ind w:left="1920" w:hangingChars="600" w:hanging="1920"/>
        <w:jc w:val="left"/>
        <w:rPr>
          <w:rFonts w:ascii="仿宋_GB2312" w:eastAsia="仿宋_GB2312" w:cs="Times New Roman" w:hint="eastAsia"/>
          <w:sz w:val="32"/>
          <w:szCs w:val="32"/>
          <w:shd w:val="solid" w:color="FFFFFF" w:fill="FFFFFF"/>
        </w:rPr>
      </w:pPr>
      <w:r>
        <w:rPr>
          <w:rFonts w:ascii="仿宋_GB2312" w:eastAsia="仿宋_GB2312" w:cs="Times New Roman" w:hint="eastAsia"/>
          <w:color w:val="000000"/>
          <w:kern w:val="0"/>
          <w:sz w:val="32"/>
          <w:szCs w:val="32"/>
          <w:shd w:val="solid" w:color="FFFFFF" w:fill="FFFFFF"/>
        </w:rPr>
        <w:t xml:space="preserve">          4.油菜种植保险理赔统计表</w:t>
      </w:r>
    </w:p>
    <w:p>
      <w:pPr>
        <w:rPr>
          <w:rFonts w:ascii="仿宋_GB2312" w:eastAsia="仿宋_GB2312" w:hint="eastAsia"/>
          <w:sz w:val="32"/>
          <w:szCs w:val="32"/>
          <w:shd w:val="solid" w:color="FFFFFF" w:fill="FFFFFF"/>
        </w:rPr>
        <w:sectPr>
          <w:footerReference w:type="default" r:id="rId2"/>
          <w:footerReference w:type="even" r:id="rId3"/>
          <w:pgSz w:w="11907" w:h="16840"/>
          <w:pgMar w:top="1985" w:right="1361" w:bottom="1418" w:left="1531" w:header="851" w:footer="1134" w:gutter="0"/>
          <w:pgNumType w:fmt="numberInDash" w:start="52"/>
          <w:docGrid w:type="lines" w:linePitch="312" w:charSpace="0"/>
        </w:sectPr>
      </w:pPr>
    </w:p>
    <w:tbl>
      <w:tblPr>
        <w:jc w:val="left"/>
        <w:tblW w:w="1409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608"/>
        <w:gridCol w:w="1260"/>
        <w:gridCol w:w="1202"/>
        <w:gridCol w:w="1214"/>
        <w:gridCol w:w="840"/>
        <w:gridCol w:w="945"/>
        <w:gridCol w:w="840"/>
        <w:gridCol w:w="839"/>
        <w:gridCol w:w="840"/>
        <w:gridCol w:w="840"/>
        <w:gridCol w:w="734"/>
        <w:gridCol w:w="834"/>
        <w:gridCol w:w="1104"/>
      </w:tblGrid>
      <w:tr>
        <w:trPr>
          <w:trHeight w:val="335"/>
        </w:trPr>
        <w:tc>
          <w:tcPr>
            <w:tcW w:w="2608" w:type="dxa"/>
            <w:tcBorders>
              <w:top w:val="nil"/>
              <w:left w:val="nil"/>
              <w:bottom w:val="nil"/>
              <w:right w:val="nil"/>
              <w:tl2br w:val="nil"/>
              <w:tr2bl w:val="nil"/>
            </w:tcBorders>
            <w:noWrap/>
            <w:vAlign w:val="center"/>
          </w:tcPr>
          <w:p>
            <w:pPr>
              <w:rPr>
                <w:rFonts w:ascii="黑体" w:eastAsia="黑体" w:cs="Times New Roman"/>
                <w:color w:val="000000"/>
                <w:sz w:val="32"/>
                <w:szCs w:val="32"/>
                <w:shd w:val="solid" w:color="FFFFFF" w:fill="FFFFFF"/>
              </w:rPr>
            </w:pPr>
            <w:r>
              <w:rPr>
                <w:rFonts w:ascii="黑体" w:eastAsia="黑体" w:cs="Times New Roman"/>
                <w:color w:val="000000"/>
                <w:sz w:val="32"/>
                <w:szCs w:val="32"/>
                <w:shd w:val="solid" w:color="FFFFFF" w:fill="FFFFFF"/>
              </w:rPr>
              <w:t>附件1</w:t>
            </w:r>
          </w:p>
        </w:tc>
        <w:tc>
          <w:tcPr>
            <w:tcW w:w="1260" w:type="dxa"/>
            <w:tcBorders>
              <w:top w:val="nil"/>
              <w:left w:val="nil"/>
              <w:bottom w:val="nil"/>
              <w:right w:val="nil"/>
              <w:tl2br w:val="nil"/>
              <w:tr2bl w:val="nil"/>
            </w:tcBorders>
            <w:noWrap/>
            <w:vAlign w:val="center"/>
          </w:tcPr>
          <w:p>
            <w:pPr>
              <w:rPr>
                <w:rFonts w:ascii="仿宋_GB2312" w:eastAsia="仿宋_GB2312"/>
                <w:color w:val="000000"/>
                <w:sz w:val="24"/>
                <w:shd w:val="solid" w:color="FFFFFF" w:fill="FFFFFF"/>
              </w:rPr>
            </w:pPr>
          </w:p>
        </w:tc>
        <w:tc>
          <w:tcPr>
            <w:tcW w:w="1202" w:type="dxa"/>
            <w:tcBorders>
              <w:top w:val="nil"/>
              <w:left w:val="nil"/>
              <w:bottom w:val="nil"/>
              <w:right w:val="nil"/>
              <w:tl2br w:val="nil"/>
              <w:tr2bl w:val="nil"/>
            </w:tcBorders>
            <w:noWrap/>
            <w:vAlign w:val="center"/>
          </w:tcPr>
          <w:p>
            <w:pPr>
              <w:rPr>
                <w:rFonts w:ascii="仿宋_GB2312" w:eastAsia="仿宋_GB2312"/>
                <w:color w:val="000000"/>
                <w:sz w:val="24"/>
                <w:shd w:val="solid" w:color="FFFFFF" w:fill="FFFFFF"/>
              </w:rPr>
            </w:pPr>
          </w:p>
        </w:tc>
        <w:tc>
          <w:tcPr>
            <w:tcW w:w="1214" w:type="dxa"/>
            <w:tcBorders>
              <w:top w:val="nil"/>
              <w:left w:val="nil"/>
              <w:bottom w:val="nil"/>
              <w:right w:val="nil"/>
              <w:tl2br w:val="nil"/>
              <w:tr2bl w:val="nil"/>
            </w:tcBorders>
            <w:noWrap/>
            <w:vAlign w:val="center"/>
          </w:tcPr>
          <w:p>
            <w:pPr>
              <w:rPr>
                <w:rFonts w:ascii="仿宋_GB2312" w:eastAsia="仿宋_GB2312"/>
                <w:sz w:val="24"/>
                <w:shd w:val="solid" w:color="FFFFFF" w:fill="FFFFFF"/>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945"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839"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734"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834"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1104" w:type="dxa"/>
            <w:tcBorders>
              <w:top w:val="nil"/>
              <w:left w:val="nil"/>
              <w:bottom w:val="nil"/>
              <w:right w:val="nil"/>
              <w:tl2br w:val="nil"/>
              <w:tr2bl w:val="nil"/>
            </w:tcBorders>
            <w:noWrap/>
            <w:vAlign w:val="center"/>
          </w:tcPr>
          <w:p>
            <w:pPr>
              <w:rPr>
                <w:rFonts w:ascii="仿宋_GB2312" w:eastAsia="仿宋_GB2312"/>
                <w:sz w:val="24"/>
                <w:shd w:val="solid" w:color="FFFFFF" w:fill="FFFFFF"/>
              </w:rPr>
            </w:pPr>
          </w:p>
        </w:tc>
      </w:tr>
      <w:tr>
        <w:trPr>
          <w:trHeight w:val="575"/>
        </w:trPr>
        <w:tc>
          <w:tcPr>
            <w:tcW w:w="14099" w:type="dxa"/>
            <w:gridSpan w:val="13"/>
            <w:tcBorders>
              <w:top w:val="nil"/>
              <w:left w:val="nil"/>
              <w:bottom w:val="nil"/>
              <w:right w:val="nil"/>
              <w:tl2br w:val="nil"/>
              <w:tr2bl w:val="nil"/>
            </w:tcBorders>
            <w:noWrap/>
            <w:vAlign w:val="center"/>
          </w:tcPr>
          <w:p>
            <w:pPr>
              <w:jc w:val="center"/>
              <w:rPr>
                <w:rFonts w:ascii="方正小标宋简体" w:eastAsia="方正小标宋简体" w:cs="Times New Roman"/>
                <w:sz w:val="36"/>
                <w:shd w:val="solid" w:color="FFFFFF" w:fill="FFFFFF"/>
              </w:rPr>
            </w:pPr>
            <w:r>
              <w:rPr>
                <w:rFonts w:ascii="方正小标宋简体" w:eastAsia="方正小标宋简体" w:cs="Times New Roman"/>
                <w:sz w:val="36"/>
                <w:shd w:val="solid" w:color="FFFFFF" w:fill="FFFFFF"/>
              </w:rPr>
              <w:t>油菜种植保险投保汇总表</w:t>
            </w:r>
          </w:p>
        </w:tc>
      </w:tr>
      <w:tr>
        <w:trPr>
          <w:trHeight w:val="515"/>
        </w:trPr>
        <w:tc>
          <w:tcPr>
            <w:tcW w:w="3868" w:type="dxa"/>
            <w:gridSpan w:val="2"/>
            <w:tcBorders>
              <w:top w:val="nil"/>
              <w:left w:val="nil"/>
              <w:bottom w:val="nil"/>
              <w:right w:val="nil"/>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＿＿＿年＿＿＿县（市、区）</w:t>
            </w:r>
          </w:p>
        </w:tc>
        <w:tc>
          <w:tcPr>
            <w:tcW w:w="1202"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2054" w:type="dxa"/>
            <w:gridSpan w:val="2"/>
            <w:tcBorders>
              <w:top w:val="nil"/>
              <w:left w:val="nil"/>
              <w:bottom w:val="single" w:sz="6" w:space="0" w:color="auto"/>
              <w:right w:val="nil"/>
              <w:tl2br w:val="nil"/>
              <w:tr2bl w:val="nil"/>
            </w:tcBorders>
            <w:noWrap/>
            <w:vAlign w:val="center"/>
          </w:tcPr>
          <w:p>
            <w:pPr>
              <w:rPr>
                <w:rFonts w:ascii="仿宋_GB2312" w:eastAsia="仿宋_GB2312"/>
                <w:sz w:val="24"/>
                <w:shd w:val="solid" w:color="FFFFFF" w:fill="FFFFFF"/>
              </w:rPr>
            </w:pPr>
          </w:p>
        </w:tc>
        <w:tc>
          <w:tcPr>
            <w:tcW w:w="945"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839" w:type="dxa"/>
            <w:tcBorders>
              <w:top w:val="nil"/>
              <w:left w:val="nil"/>
              <w:bottom w:val="nil"/>
              <w:right w:val="nil"/>
              <w:tl2br w:val="nil"/>
              <w:tr2bl w:val="nil"/>
            </w:tcBorders>
            <w:noWrap/>
            <w:vAlign w:val="center"/>
          </w:tcPr>
          <w:p>
            <w:pPr>
              <w:jc w:val="center"/>
              <w:rPr>
                <w:rFonts w:ascii="仿宋_GB2312" w:eastAsia="仿宋_GB2312"/>
                <w:sz w:val="24"/>
                <w:shd w:val="solid" w:color="FFFFFF" w:fill="FFFFFF"/>
              </w:rPr>
            </w:pPr>
          </w:p>
        </w:tc>
        <w:tc>
          <w:tcPr>
            <w:tcW w:w="4352" w:type="dxa"/>
            <w:gridSpan w:val="5"/>
            <w:tcBorders>
              <w:top w:val="nil"/>
              <w:left w:val="nil"/>
              <w:bottom w:val="nil"/>
              <w:right w:val="nil"/>
              <w:tl2br w:val="nil"/>
              <w:tr2bl w:val="nil"/>
            </w:tcBorders>
            <w:noWrap/>
            <w:vAlign w:val="center"/>
          </w:tcPr>
          <w:p>
            <w:pPr>
              <w:wordWrap w:val="0"/>
              <w:jc w:val="right"/>
              <w:rPr>
                <w:rFonts w:ascii="仿宋_GB2312" w:eastAsia="仿宋_GB2312"/>
                <w:sz w:val="24"/>
                <w:shd w:val="solid" w:color="FFFFFF" w:fill="FFFFFF"/>
              </w:rPr>
            </w:pPr>
            <w:r>
              <w:rPr>
                <w:rFonts w:ascii="仿宋_GB2312" w:eastAsia="仿宋_GB2312" w:cs="Times New Roman"/>
                <w:sz w:val="24"/>
                <w:shd w:val="solid" w:color="FFFFFF" w:fill="FFFFFF"/>
              </w:rPr>
              <w:t xml:space="preserve">单位：户、亩、元     </w:t>
            </w:r>
          </w:p>
        </w:tc>
      </w:tr>
      <w:tr>
        <w:trPr>
          <w:trHeight w:val="551"/>
        </w:trPr>
        <w:tc>
          <w:tcPr>
            <w:tcW w:w="260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乡镇及单位</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投保户数</w:t>
            </w:r>
          </w:p>
        </w:tc>
        <w:tc>
          <w:tcPr>
            <w:tcW w:w="1202"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承保面积</w:t>
            </w:r>
          </w:p>
        </w:tc>
        <w:tc>
          <w:tcPr>
            <w:tcW w:w="1214"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保费合计</w:t>
            </w:r>
          </w:p>
        </w:tc>
        <w:tc>
          <w:tcPr>
            <w:tcW w:w="178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中央财政补贴</w:t>
            </w:r>
          </w:p>
        </w:tc>
        <w:tc>
          <w:tcPr>
            <w:tcW w:w="167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省级财政补贴</w:t>
            </w:r>
          </w:p>
        </w:tc>
        <w:tc>
          <w:tcPr>
            <w:tcW w:w="168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市县财政补贴</w:t>
            </w:r>
          </w:p>
        </w:tc>
        <w:tc>
          <w:tcPr>
            <w:tcW w:w="1568"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农户承担</w:t>
            </w:r>
          </w:p>
        </w:tc>
        <w:tc>
          <w:tcPr>
            <w:tcW w:w="1104"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备 注</w:t>
            </w:r>
          </w:p>
        </w:tc>
      </w:tr>
      <w:tr>
        <w:trPr>
          <w:trHeight w:val="527"/>
        </w:trPr>
        <w:tc>
          <w:tcPr>
            <w:tcW w:w="2608"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60" w:type="dxa"/>
            <w:vMerge/>
            <w:tcBorders>
              <w:top w:val="nil"/>
              <w:left w:val="single" w:sz="6" w:space="0" w:color="auto"/>
              <w:bottom w:val="single" w:sz="6" w:space="0" w:color="auto"/>
              <w:right w:val="single" w:sz="6" w:space="0" w:color="auto"/>
              <w:tl2br w:val="nil"/>
              <w:tr2bl w:val="nil"/>
            </w:tcBorders>
            <w:noWrap/>
            <w:vAlign w:val="center"/>
          </w:tcPr>
          <w:p/>
        </w:tc>
        <w:tc>
          <w:tcPr>
            <w:tcW w:w="1155" w:type="dxa"/>
            <w:vMerge/>
            <w:tcBorders>
              <w:top w:val="nil"/>
              <w:left w:val="single" w:sz="6" w:space="0" w:color="auto"/>
              <w:bottom w:val="single" w:sz="6" w:space="0" w:color="auto"/>
              <w:right w:val="single" w:sz="6" w:space="0" w:color="auto"/>
              <w:tl2br w:val="nil"/>
              <w:tr2bl w:val="nil"/>
            </w:tcBorders>
            <w:noWrap/>
            <w:vAlign w:val="center"/>
          </w:tcPr>
          <w:p/>
        </w:tc>
        <w:tc>
          <w:tcPr>
            <w:tcW w:w="1261" w:type="dxa"/>
            <w:vMerge/>
            <w:tcBorders>
              <w:top w:val="nil"/>
              <w:left w:val="single" w:sz="6" w:space="0" w:color="auto"/>
              <w:bottom w:val="single" w:sz="6" w:space="0" w:color="auto"/>
              <w:right w:val="single" w:sz="6" w:space="0" w:color="auto"/>
              <w:tl2br w:val="nil"/>
              <w:tr2bl w:val="nil"/>
            </w:tcBorders>
            <w:noWrap/>
            <w:vAlign w:val="center"/>
          </w:tc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金额</w:t>
            </w: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shd w:val="solid" w:color="FFFFFF" w:fill="FFFFFF"/>
              </w:rPr>
            </w:pPr>
            <w:r>
              <w:rPr>
                <w:rFonts w:ascii="仿宋_GB2312" w:eastAsia="仿宋_GB2312" w:cs="Times New Roman"/>
                <w:color w:val="000000"/>
                <w:sz w:val="24"/>
                <w:shd w:val="solid" w:color="FFFFFF" w:fill="FFFFFF"/>
              </w:rPr>
              <w:t>比例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金额</w:t>
            </w: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shd w:val="solid" w:color="FFFFFF" w:fill="FFFFFF"/>
              </w:rPr>
            </w:pPr>
            <w:r>
              <w:rPr>
                <w:rFonts w:ascii="仿宋_GB2312" w:eastAsia="仿宋_GB2312" w:cs="Times New Roman"/>
                <w:color w:val="000000"/>
                <w:sz w:val="24"/>
                <w:shd w:val="solid" w:color="FFFFFF" w:fill="FFFFFF"/>
              </w:rPr>
              <w:t>比例</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金额</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shd w:val="solid" w:color="FFFFFF" w:fill="FFFFFF"/>
              </w:rPr>
            </w:pPr>
            <w:r>
              <w:rPr>
                <w:rFonts w:ascii="仿宋_GB2312" w:eastAsia="仿宋_GB2312" w:cs="Times New Roman"/>
                <w:color w:val="000000"/>
                <w:sz w:val="24"/>
                <w:shd w:val="solid" w:color="FFFFFF" w:fill="FFFFFF"/>
              </w:rPr>
              <w:t>比例</w:t>
            </w: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金额</w:t>
            </w: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shd w:val="solid" w:color="FFFFFF" w:fill="FFFFFF"/>
              </w:rPr>
            </w:pPr>
            <w:r>
              <w:rPr>
                <w:rFonts w:ascii="仿宋_GB2312" w:eastAsia="仿宋_GB2312" w:cs="Times New Roman"/>
                <w:color w:val="000000"/>
                <w:sz w:val="24"/>
                <w:shd w:val="solid" w:color="FFFFFF" w:fill="FFFFFF"/>
              </w:rPr>
              <w:t>比例</w:t>
            </w:r>
          </w:p>
        </w:tc>
        <w:tc>
          <w:tcPr>
            <w:tcW w:w="955"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03"/>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一、乡镇（或街道办）</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79"/>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二、国有农场</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31"/>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三、农业企业</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四、农民合作社</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五、家庭农场</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六、种植大户</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b/>
                <w:sz w:val="24"/>
                <w:shd w:val="solid" w:color="FFFFFF" w:fill="FFFFFF"/>
              </w:rPr>
            </w:pPr>
            <w:r>
              <w:rPr>
                <w:rFonts w:ascii="仿宋_GB2312" w:eastAsia="仿宋_GB2312" w:cs="Times New Roman"/>
                <w:b/>
                <w:sz w:val="24"/>
                <w:shd w:val="solid" w:color="FFFFFF" w:fill="FFFFFF"/>
              </w:rPr>
              <w:t>合 计</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shd w:val="solid" w:color="FFFFFF" w:fill="FFFFFF"/>
              </w:rPr>
            </w:pP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shd w:val="solid" w:color="FFFFFF" w:fill="FFFFFF"/>
              </w:rPr>
            </w:pPr>
          </w:p>
        </w:tc>
        <w:tc>
          <w:tcPr>
            <w:tcW w:w="121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9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7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83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1104"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455"/>
        </w:trPr>
        <w:tc>
          <w:tcPr>
            <w:tcW w:w="14099" w:type="dxa"/>
            <w:gridSpan w:val="13"/>
            <w:tcBorders>
              <w:top w:val="single" w:sz="6" w:space="0" w:color="auto"/>
              <w:left w:val="nil"/>
              <w:bottom w:val="nil"/>
              <w:right w:val="nil"/>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县（市、区）财政局（盖章）　　　　县（市、区）农业农村局（盖章）　　　　  县（市、区）＿＿保险公司支公司（盖章）</w:t>
            </w:r>
          </w:p>
        </w:tc>
      </w:tr>
    </w:tbl>
    <w:p>
      <w:pPr>
        <w:rPr>
          <w:rFonts w:ascii="黑体" w:eastAsia="黑体" w:cs="Times New Roman"/>
          <w:color w:val="000000"/>
          <w:sz w:val="28"/>
          <w:shd w:val="solid" w:color="FFFFFF" w:fill="FFFFFF"/>
        </w:rPr>
      </w:pPr>
    </w:p>
    <w:tbl>
      <w:tblPr>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952"/>
        <w:gridCol w:w="2700"/>
        <w:gridCol w:w="2808"/>
        <w:gridCol w:w="2892"/>
        <w:gridCol w:w="3036"/>
      </w:tblGrid>
      <w:tr>
        <w:trPr>
          <w:trHeight w:val="395"/>
        </w:trPr>
        <w:tc>
          <w:tcPr>
            <w:tcW w:w="2952" w:type="dxa"/>
            <w:tcBorders>
              <w:top w:val="nil"/>
              <w:left w:val="nil"/>
              <w:bottom w:val="nil"/>
              <w:right w:val="nil"/>
              <w:tl2br w:val="nil"/>
              <w:tr2bl w:val="nil"/>
            </w:tcBorders>
            <w:noWrap/>
            <w:vAlign w:val="center"/>
          </w:tcPr>
          <w:p>
            <w:pPr>
              <w:rPr>
                <w:rFonts w:ascii="黑体" w:eastAsia="黑体" w:cs="Times New Roman"/>
                <w:color w:val="000000"/>
                <w:sz w:val="28"/>
                <w:shd w:val="solid" w:color="FFFFFF" w:fill="FFFFFF"/>
              </w:rPr>
            </w:pPr>
            <w:bookmarkStart w:id="0" w:name="_GoBack"/>
            <w:bookmarkEnd w:id="0"/>
            <w:r>
              <w:rPr>
                <w:rFonts w:ascii="黑体" w:eastAsia="黑体" w:cs="Times New Roman"/>
                <w:color w:val="000000"/>
                <w:sz w:val="32"/>
                <w:szCs w:val="32"/>
                <w:shd w:val="solid" w:color="FFFFFF" w:fill="FFFFFF"/>
              </w:rPr>
              <w:t>附件2</w:t>
            </w:r>
          </w:p>
        </w:tc>
        <w:tc>
          <w:tcPr>
            <w:tcW w:w="2700" w:type="dxa"/>
            <w:tcBorders>
              <w:top w:val="nil"/>
              <w:left w:val="nil"/>
              <w:bottom w:val="nil"/>
              <w:right w:val="nil"/>
              <w:tl2br w:val="nil"/>
              <w:tr2bl w:val="nil"/>
            </w:tcBorders>
            <w:noWrap/>
            <w:vAlign w:val="center"/>
          </w:tcPr>
          <w:p>
            <w:pPr>
              <w:rPr>
                <w:rFonts w:ascii="仿宋_GB2312" w:eastAsia="仿宋_GB2312"/>
                <w:color w:val="000000"/>
                <w:sz w:val="24"/>
                <w:shd w:val="solid" w:color="FFFFFF" w:fill="FFFFFF"/>
              </w:rPr>
            </w:pPr>
          </w:p>
        </w:tc>
        <w:tc>
          <w:tcPr>
            <w:tcW w:w="2808" w:type="dxa"/>
            <w:tcBorders>
              <w:top w:val="nil"/>
              <w:left w:val="nil"/>
              <w:bottom w:val="nil"/>
              <w:right w:val="nil"/>
              <w:tl2br w:val="nil"/>
              <w:tr2bl w:val="nil"/>
            </w:tcBorders>
            <w:noWrap/>
            <w:vAlign w:val="center"/>
          </w:tcPr>
          <w:p>
            <w:pPr>
              <w:rPr>
                <w:rFonts w:ascii="仿宋_GB2312" w:eastAsia="仿宋_GB2312"/>
                <w:color w:val="000000"/>
                <w:sz w:val="24"/>
                <w:shd w:val="solid" w:color="FFFFFF" w:fill="FFFFFF"/>
              </w:rPr>
            </w:pPr>
          </w:p>
        </w:tc>
        <w:tc>
          <w:tcPr>
            <w:tcW w:w="2892" w:type="dxa"/>
            <w:tcBorders>
              <w:top w:val="nil"/>
              <w:left w:val="nil"/>
              <w:bottom w:val="nil"/>
              <w:right w:val="nil"/>
              <w:tl2br w:val="nil"/>
              <w:tr2bl w:val="nil"/>
            </w:tcBorders>
            <w:noWrap/>
            <w:vAlign w:val="center"/>
          </w:tcPr>
          <w:p>
            <w:pPr>
              <w:rPr>
                <w:rFonts w:ascii="仿宋_GB2312" w:eastAsia="仿宋_GB2312"/>
                <w:sz w:val="24"/>
                <w:shd w:val="solid" w:color="FFFFFF" w:fill="FFFFFF"/>
              </w:rPr>
            </w:pPr>
          </w:p>
        </w:tc>
        <w:tc>
          <w:tcPr>
            <w:tcW w:w="3036" w:type="dxa"/>
            <w:tcBorders>
              <w:top w:val="nil"/>
              <w:left w:val="nil"/>
              <w:bottom w:val="nil"/>
              <w:right w:val="nil"/>
              <w:tl2br w:val="nil"/>
              <w:tr2bl w:val="nil"/>
            </w:tcBorders>
            <w:noWrap/>
            <w:vAlign w:val="center"/>
          </w:tcPr>
          <w:p>
            <w:pPr>
              <w:rPr>
                <w:rFonts w:ascii="仿宋_GB2312" w:eastAsia="仿宋_GB2312"/>
                <w:sz w:val="24"/>
                <w:shd w:val="solid" w:color="FFFFFF" w:fill="FFFFFF"/>
              </w:rPr>
            </w:pPr>
          </w:p>
        </w:tc>
      </w:tr>
      <w:tr>
        <w:trPr>
          <w:trHeight w:val="887"/>
        </w:trPr>
        <w:tc>
          <w:tcPr>
            <w:tcW w:w="14388" w:type="dxa"/>
            <w:gridSpan w:val="5"/>
            <w:tcBorders>
              <w:top w:val="nil"/>
              <w:left w:val="nil"/>
              <w:bottom w:val="nil"/>
              <w:right w:val="nil"/>
              <w:tl2br w:val="nil"/>
              <w:tr2bl w:val="nil"/>
            </w:tcBorders>
            <w:noWrap/>
            <w:vAlign w:val="center"/>
          </w:tcPr>
          <w:p>
            <w:pPr>
              <w:jc w:val="center"/>
              <w:rPr>
                <w:rFonts w:ascii="方正小标宋简体" w:eastAsia="方正小标宋简体" w:cs="Times New Roman"/>
                <w:sz w:val="36"/>
                <w:shd w:val="solid" w:color="FFFFFF" w:fill="FFFFFF"/>
              </w:rPr>
            </w:pPr>
            <w:r>
              <w:rPr>
                <w:rFonts w:ascii="方正小标宋简体" w:eastAsia="方正小标宋简体" w:cs="Times New Roman"/>
                <w:sz w:val="36"/>
                <w:shd w:val="solid" w:color="FFFFFF" w:fill="FFFFFF"/>
              </w:rPr>
              <w:t>油菜种植保险投保统计表</w:t>
            </w:r>
          </w:p>
        </w:tc>
      </w:tr>
      <w:tr>
        <w:trPr>
          <w:trHeight w:val="479"/>
        </w:trPr>
        <w:tc>
          <w:tcPr>
            <w:tcW w:w="8460" w:type="dxa"/>
            <w:gridSpan w:val="3"/>
            <w:tcBorders>
              <w:top w:val="nil"/>
              <w:left w:val="nil"/>
              <w:bottom w:val="single" w:sz="6" w:space="0" w:color="auto"/>
              <w:right w:val="nil"/>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　＿＿＿年＿＿＿县（市、区）＿＿＿乡（镇）</w:t>
            </w:r>
          </w:p>
        </w:tc>
        <w:tc>
          <w:tcPr>
            <w:tcW w:w="5928" w:type="dxa"/>
            <w:gridSpan w:val="2"/>
            <w:tcBorders>
              <w:top w:val="nil"/>
              <w:left w:val="nil"/>
              <w:bottom w:val="single" w:sz="6" w:space="0" w:color="auto"/>
              <w:right w:val="nil"/>
              <w:tl2br w:val="nil"/>
              <w:tr2bl w:val="nil"/>
            </w:tcBorders>
            <w:noWrap/>
            <w:vAlign w:val="center"/>
          </w:tcPr>
          <w:p>
            <w:pPr>
              <w:jc w:val="right"/>
              <w:rPr>
                <w:rFonts w:ascii="仿宋_GB2312" w:eastAsia="仿宋_GB2312" w:cs="Times New Roman"/>
                <w:sz w:val="24"/>
                <w:shd w:val="solid" w:color="FFFFFF" w:fill="FFFFFF"/>
              </w:rPr>
            </w:pPr>
            <w:r>
              <w:rPr>
                <w:rFonts w:ascii="仿宋_GB2312" w:eastAsia="仿宋_GB2312" w:cs="Times New Roman"/>
                <w:sz w:val="24"/>
                <w:shd w:val="solid" w:color="FFFFFF" w:fill="FFFFFF"/>
              </w:rPr>
              <w:t>单位：户、亩、元</w:t>
            </w:r>
          </w:p>
        </w:tc>
      </w:tr>
      <w:tr>
        <w:trPr>
          <w:trHeight w:val="93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行政村</w:t>
            </w: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投保户数</w:t>
            </w: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承保面积</w:t>
            </w: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种植户缴纳保险费合计</w:t>
            </w: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备 注</w:t>
            </w: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合 计</w:t>
            </w: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shd w:val="solid" w:color="FFFFFF" w:fill="FFFFFF"/>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shd w:val="solid" w:color="FFFFFF" w:fill="FFFFFF"/>
              </w:rPr>
            </w:pPr>
          </w:p>
        </w:tc>
      </w:tr>
    </w:tbl>
    <w:p>
      <w:pPr>
        <w:rPr>
          <w:shd w:val="solid" w:color="FFFFFF" w:fill="FFFFFF"/>
        </w:rPr>
      </w:pPr>
    </w:p>
    <w:p>
      <w:pPr>
        <w:rPr>
          <w:shd w:val="solid" w:color="FFFFFF" w:fill="FFFFFF"/>
        </w:rPr>
      </w:pPr>
    </w:p>
    <w:p>
      <w:pPr>
        <w:rPr>
          <w:shd w:val="solid" w:color="FFFFFF" w:fill="FFFFFF"/>
        </w:rPr>
      </w:pPr>
    </w:p>
    <w:p>
      <w:pPr>
        <w:rPr>
          <w:shd w:val="solid" w:color="FFFFFF" w:fill="FFFFFF"/>
        </w:rPr>
      </w:pPr>
    </w:p>
    <w:tbl>
      <w:tblPr>
        <w:jc w:val="left"/>
        <w:tblW w:w="1440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60"/>
        <w:gridCol w:w="1656"/>
        <w:gridCol w:w="1200"/>
        <w:gridCol w:w="1536"/>
        <w:gridCol w:w="936"/>
        <w:gridCol w:w="1248"/>
        <w:gridCol w:w="1236"/>
        <w:gridCol w:w="1533"/>
        <w:gridCol w:w="1245"/>
        <w:gridCol w:w="1005"/>
        <w:gridCol w:w="1110"/>
        <w:gridCol w:w="1036"/>
      </w:tblGrid>
      <w:tr>
        <w:trPr>
          <w:trHeight w:val="335"/>
        </w:trPr>
        <w:tc>
          <w:tcPr>
            <w:tcW w:w="2316" w:type="dxa"/>
            <w:gridSpan w:val="2"/>
            <w:noWrap/>
            <w:vAlign w:val="center"/>
          </w:tcPr>
          <w:p>
            <w:pPr>
              <w:rPr>
                <w:rFonts w:ascii="黑体" w:eastAsia="黑体" w:cs="Times New Roman"/>
                <w:color w:val="000000"/>
                <w:sz w:val="32"/>
                <w:szCs w:val="32"/>
                <w:shd w:val="solid" w:color="FFFFFF" w:fill="FFFFFF"/>
              </w:rPr>
            </w:pPr>
          </w:p>
          <w:p>
            <w:pPr>
              <w:rPr>
                <w:rFonts w:ascii="黑体" w:eastAsia="黑体" w:cs="Times New Roman"/>
                <w:color w:val="000000"/>
                <w:sz w:val="28"/>
                <w:shd w:val="solid" w:color="FFFFFF" w:fill="FFFFFF"/>
              </w:rPr>
            </w:pPr>
            <w:r>
              <w:rPr>
                <w:rFonts w:ascii="黑体" w:eastAsia="黑体" w:cs="Times New Roman"/>
                <w:color w:val="000000"/>
                <w:sz w:val="32"/>
                <w:szCs w:val="32"/>
                <w:shd w:val="solid" w:color="FFFFFF" w:fill="FFFFFF"/>
              </w:rPr>
              <w:t>附件3</w:t>
            </w:r>
          </w:p>
        </w:tc>
        <w:tc>
          <w:tcPr>
            <w:tcW w:w="1200" w:type="dxa"/>
            <w:noWrap/>
            <w:vAlign w:val="center"/>
          </w:tcPr>
          <w:p>
            <w:pPr>
              <w:rPr>
                <w:rFonts w:ascii="仿宋_GB2312" w:eastAsia="仿宋_GB2312"/>
                <w:color w:val="000000"/>
                <w:sz w:val="24"/>
                <w:shd w:val="solid" w:color="FFFFFF" w:fill="FFFFFF"/>
              </w:rPr>
            </w:pPr>
          </w:p>
        </w:tc>
        <w:tc>
          <w:tcPr>
            <w:tcW w:w="1536" w:type="dxa"/>
            <w:noWrap/>
            <w:vAlign w:val="center"/>
          </w:tcPr>
          <w:p>
            <w:pPr>
              <w:rPr>
                <w:rFonts w:ascii="仿宋_GB2312" w:eastAsia="仿宋_GB2312"/>
                <w:color w:val="000000"/>
                <w:sz w:val="24"/>
                <w:shd w:val="solid" w:color="FFFFFF" w:fill="FFFFFF"/>
              </w:rPr>
            </w:pPr>
          </w:p>
        </w:tc>
        <w:tc>
          <w:tcPr>
            <w:tcW w:w="936" w:type="dxa"/>
            <w:noWrap/>
            <w:vAlign w:val="center"/>
          </w:tcPr>
          <w:p>
            <w:pPr>
              <w:rPr>
                <w:rFonts w:ascii="仿宋_GB2312" w:eastAsia="仿宋_GB2312"/>
                <w:color w:val="000000"/>
                <w:sz w:val="24"/>
                <w:shd w:val="solid" w:color="FFFFFF" w:fill="FFFFFF"/>
              </w:rPr>
            </w:pPr>
          </w:p>
        </w:tc>
        <w:tc>
          <w:tcPr>
            <w:tcW w:w="1248" w:type="dxa"/>
            <w:noWrap/>
            <w:vAlign w:val="center"/>
          </w:tcPr>
          <w:p>
            <w:pPr>
              <w:rPr>
                <w:rFonts w:ascii="仿宋_GB2312" w:eastAsia="仿宋_GB2312"/>
                <w:color w:val="000000"/>
                <w:sz w:val="24"/>
                <w:shd w:val="solid" w:color="FFFFFF" w:fill="FFFFFF"/>
              </w:rPr>
            </w:pPr>
          </w:p>
        </w:tc>
        <w:tc>
          <w:tcPr>
            <w:tcW w:w="1236" w:type="dxa"/>
            <w:noWrap/>
            <w:vAlign w:val="center"/>
          </w:tcPr>
          <w:p>
            <w:pPr>
              <w:rPr>
                <w:rFonts w:ascii="仿宋_GB2312" w:eastAsia="仿宋_GB2312"/>
                <w:sz w:val="24"/>
                <w:shd w:val="solid" w:color="FFFFFF" w:fill="FFFFFF"/>
              </w:rPr>
            </w:pPr>
          </w:p>
        </w:tc>
        <w:tc>
          <w:tcPr>
            <w:tcW w:w="1533" w:type="dxa"/>
            <w:noWrap/>
            <w:vAlign w:val="center"/>
          </w:tcPr>
          <w:p>
            <w:pPr>
              <w:rPr>
                <w:rFonts w:ascii="仿宋_GB2312" w:eastAsia="仿宋_GB2312"/>
                <w:sz w:val="24"/>
                <w:shd w:val="solid" w:color="FFFFFF" w:fill="FFFFFF"/>
              </w:rPr>
            </w:pPr>
          </w:p>
        </w:tc>
        <w:tc>
          <w:tcPr>
            <w:tcW w:w="1245" w:type="dxa"/>
            <w:noWrap/>
            <w:vAlign w:val="center"/>
          </w:tcPr>
          <w:p>
            <w:pPr>
              <w:rPr>
                <w:rFonts w:ascii="仿宋_GB2312" w:eastAsia="仿宋_GB2312"/>
                <w:sz w:val="24"/>
                <w:shd w:val="solid" w:color="FFFFFF" w:fill="FFFFFF"/>
              </w:rPr>
            </w:pPr>
          </w:p>
        </w:tc>
        <w:tc>
          <w:tcPr>
            <w:tcW w:w="1005" w:type="dxa"/>
            <w:noWrap/>
            <w:vAlign w:val="center"/>
          </w:tcPr>
          <w:p>
            <w:pPr>
              <w:rPr>
                <w:rFonts w:ascii="仿宋_GB2312" w:eastAsia="仿宋_GB2312"/>
                <w:sz w:val="24"/>
                <w:shd w:val="solid" w:color="FFFFFF" w:fill="FFFFFF"/>
              </w:rPr>
            </w:pPr>
          </w:p>
        </w:tc>
        <w:tc>
          <w:tcPr>
            <w:tcW w:w="1110" w:type="dxa"/>
            <w:noWrap/>
            <w:vAlign w:val="center"/>
          </w:tcPr>
          <w:p>
            <w:pPr>
              <w:rPr>
                <w:rFonts w:ascii="仿宋_GB2312" w:eastAsia="仿宋_GB2312"/>
                <w:sz w:val="24"/>
                <w:shd w:val="solid" w:color="FFFFFF" w:fill="FFFFFF"/>
              </w:rPr>
            </w:pPr>
          </w:p>
        </w:tc>
        <w:tc>
          <w:tcPr>
            <w:tcW w:w="1035" w:type="dxa"/>
            <w:noWrap/>
            <w:vAlign w:val="center"/>
          </w:tcPr>
          <w:p>
            <w:pPr>
              <w:rPr>
                <w:rFonts w:ascii="仿宋_GB2312" w:eastAsia="仿宋_GB2312"/>
                <w:sz w:val="24"/>
                <w:shd w:val="solid" w:color="FFFFFF" w:fill="FFFFFF"/>
              </w:rPr>
            </w:pPr>
          </w:p>
        </w:tc>
      </w:tr>
      <w:tr>
        <w:trPr>
          <w:trHeight w:val="695"/>
        </w:trPr>
        <w:tc>
          <w:tcPr>
            <w:tcW w:w="14400" w:type="dxa"/>
            <w:gridSpan w:val="12"/>
            <w:noWrap/>
            <w:vAlign w:val="center"/>
          </w:tcPr>
          <w:p>
            <w:pPr>
              <w:jc w:val="center"/>
              <w:rPr>
                <w:rFonts w:ascii="方正小标宋简体" w:eastAsia="方正小标宋简体" w:cs="Times New Roman"/>
                <w:sz w:val="36"/>
                <w:shd w:val="solid" w:color="FFFFFF" w:fill="FFFFFF"/>
              </w:rPr>
            </w:pPr>
            <w:r>
              <w:rPr>
                <w:rFonts w:ascii="方正小标宋简体" w:eastAsia="方正小标宋简体" w:cs="Times New Roman"/>
                <w:sz w:val="36"/>
                <w:shd w:val="solid" w:color="FFFFFF" w:fill="FFFFFF"/>
              </w:rPr>
              <w:t>油菜种植保险投保人明细表</w:t>
            </w:r>
          </w:p>
        </w:tc>
      </w:tr>
      <w:tr>
        <w:trPr>
          <w:trHeight w:val="455"/>
        </w:trPr>
        <w:tc>
          <w:tcPr>
            <w:tcW w:w="7235" w:type="dxa"/>
            <w:gridSpan w:val="6"/>
            <w:tcBorders>
              <w:bottom w:val="single" w:sz="6" w:space="0" w:color="auto"/>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＿＿年＿＿县（市、区）＿＿乡（镇）＿＿村</w:t>
            </w:r>
          </w:p>
        </w:tc>
        <w:tc>
          <w:tcPr>
            <w:tcW w:w="1236" w:type="dxa"/>
            <w:tcBorders>
              <w:bottom w:val="single" w:sz="6" w:space="0" w:color="auto"/>
            </w:tcBorders>
            <w:noWrap/>
            <w:vAlign w:val="center"/>
          </w:tcPr>
          <w:p>
            <w:pPr>
              <w:jc w:val="center"/>
              <w:rPr>
                <w:rFonts w:ascii="仿宋_GB2312" w:eastAsia="仿宋_GB2312"/>
                <w:sz w:val="24"/>
                <w:shd w:val="solid" w:color="FFFFFF" w:fill="FFFFFF"/>
              </w:rPr>
            </w:pPr>
          </w:p>
        </w:tc>
        <w:tc>
          <w:tcPr>
            <w:tcW w:w="1533" w:type="dxa"/>
            <w:tcBorders>
              <w:bottom w:val="single" w:sz="6" w:space="0" w:color="auto"/>
            </w:tcBorders>
            <w:noWrap/>
            <w:vAlign w:val="center"/>
          </w:tcPr>
          <w:p>
            <w:pPr>
              <w:jc w:val="center"/>
              <w:rPr>
                <w:rFonts w:ascii="仿宋_GB2312" w:eastAsia="仿宋_GB2312"/>
                <w:sz w:val="24"/>
                <w:shd w:val="solid" w:color="FFFFFF" w:fill="FFFFFF"/>
              </w:rPr>
            </w:pPr>
          </w:p>
        </w:tc>
        <w:tc>
          <w:tcPr>
            <w:tcW w:w="1245" w:type="dxa"/>
            <w:tcBorders>
              <w:bottom w:val="single" w:sz="6" w:space="0" w:color="auto"/>
            </w:tcBorders>
            <w:noWrap/>
            <w:vAlign w:val="center"/>
          </w:tcPr>
          <w:p>
            <w:pPr>
              <w:jc w:val="center"/>
              <w:rPr>
                <w:rFonts w:ascii="仿宋_GB2312" w:eastAsia="仿宋_GB2312"/>
                <w:sz w:val="24"/>
                <w:shd w:val="solid" w:color="FFFFFF" w:fill="FFFFFF"/>
              </w:rPr>
            </w:pPr>
          </w:p>
        </w:tc>
        <w:tc>
          <w:tcPr>
            <w:tcW w:w="3151" w:type="dxa"/>
            <w:gridSpan w:val="3"/>
            <w:tcBorders>
              <w:bottom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单位：亩、元</w:t>
            </w:r>
          </w:p>
        </w:tc>
      </w:tr>
      <w:tr>
        <w:trPr>
          <w:trHeight w:val="107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序号</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投保人所在地</w:t>
            </w: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种植户主</w:t>
            </w: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身份证号码</w:t>
            </w: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电话</w:t>
            </w: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承保面积</w:t>
            </w: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地段名称</w:t>
            </w:r>
          </w:p>
        </w:tc>
        <w:tc>
          <w:tcPr>
            <w:tcW w:w="1533" w:type="dxa"/>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应交保费 （总保险费）</w:t>
            </w:r>
          </w:p>
        </w:tc>
        <w:tc>
          <w:tcPr>
            <w:tcW w:w="1245" w:type="dxa"/>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种植户主自交保费</w:t>
            </w:r>
          </w:p>
        </w:tc>
        <w:tc>
          <w:tcPr>
            <w:tcW w:w="1005" w:type="dxa"/>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缴费 日期</w:t>
            </w:r>
          </w:p>
        </w:tc>
        <w:tc>
          <w:tcPr>
            <w:tcW w:w="1110" w:type="dxa"/>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种植户主签字</w:t>
            </w:r>
          </w:p>
        </w:tc>
        <w:tc>
          <w:tcPr>
            <w:tcW w:w="10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备 注</w:t>
            </w: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1</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2</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3</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4</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5</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6</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7</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8</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9</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10</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b/>
                <w:sz w:val="24"/>
                <w:shd w:val="solid" w:color="FFFFFF" w:fill="FFFFFF"/>
              </w:rPr>
            </w:pPr>
            <w:r>
              <w:rPr>
                <w:rFonts w:ascii="仿宋_GB2312" w:eastAsia="仿宋_GB2312" w:cs="Times New Roman"/>
                <w:b/>
                <w:sz w:val="24"/>
                <w:shd w:val="solid" w:color="FFFFFF" w:fill="FFFFFF"/>
              </w:rPr>
              <w:t>合计</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0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9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8"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3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533"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24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shd w:val="solid" w:color="FFFFFF" w:fill="FFFFFF"/>
              </w:rPr>
            </w:pPr>
          </w:p>
        </w:tc>
        <w:tc>
          <w:tcPr>
            <w:tcW w:w="100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110"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c>
          <w:tcPr>
            <w:tcW w:w="103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shd w:val="solid" w:color="FFFFFF" w:fill="FFFFFF"/>
              </w:rPr>
            </w:pPr>
          </w:p>
        </w:tc>
      </w:tr>
      <w:tr>
        <w:trPr>
          <w:trHeight w:val="287"/>
        </w:trPr>
        <w:tc>
          <w:tcPr>
            <w:tcW w:w="660" w:type="dxa"/>
            <w:tcBorders>
              <w:top w:val="single" w:sz="6" w:space="0" w:color="auto"/>
            </w:tcBorders>
            <w:noWrap/>
            <w:vAlign w:val="center"/>
          </w:tcPr>
          <w:p>
            <w:pPr>
              <w:rPr>
                <w:rFonts w:ascii="Times New Roman" w:hAnsi="Times New Roman"/>
                <w:sz w:val="24"/>
                <w:shd w:val="solid" w:color="FFFFFF" w:fill="FFFFFF"/>
              </w:rPr>
            </w:pPr>
          </w:p>
        </w:tc>
        <w:tc>
          <w:tcPr>
            <w:tcW w:w="1656" w:type="dxa"/>
            <w:tcBorders>
              <w:top w:val="single" w:sz="6" w:space="0" w:color="auto"/>
            </w:tcBorders>
            <w:noWrap/>
            <w:vAlign w:val="center"/>
          </w:tcPr>
          <w:p>
            <w:pPr>
              <w:rPr>
                <w:rFonts w:ascii="Times New Roman" w:hAnsi="Times New Roman"/>
                <w:sz w:val="24"/>
                <w:shd w:val="solid" w:color="FFFFFF" w:fill="FFFFFF"/>
              </w:rPr>
            </w:pPr>
          </w:p>
        </w:tc>
        <w:tc>
          <w:tcPr>
            <w:tcW w:w="1200" w:type="dxa"/>
            <w:tcBorders>
              <w:top w:val="single" w:sz="6" w:space="0" w:color="auto"/>
            </w:tcBorders>
            <w:noWrap/>
            <w:vAlign w:val="center"/>
          </w:tcPr>
          <w:p>
            <w:pPr>
              <w:rPr>
                <w:rFonts w:ascii="Times New Roman" w:hAnsi="Times New Roman"/>
                <w:sz w:val="24"/>
                <w:shd w:val="solid" w:color="FFFFFF" w:fill="FFFFFF"/>
              </w:rPr>
            </w:pPr>
          </w:p>
        </w:tc>
        <w:tc>
          <w:tcPr>
            <w:tcW w:w="1536" w:type="dxa"/>
            <w:tcBorders>
              <w:top w:val="single" w:sz="6" w:space="0" w:color="auto"/>
            </w:tcBorders>
            <w:noWrap/>
            <w:vAlign w:val="center"/>
          </w:tcPr>
          <w:p>
            <w:pPr>
              <w:rPr>
                <w:rFonts w:ascii="Times New Roman" w:hAnsi="Times New Roman"/>
                <w:sz w:val="24"/>
                <w:shd w:val="solid" w:color="FFFFFF" w:fill="FFFFFF"/>
              </w:rPr>
            </w:pPr>
          </w:p>
        </w:tc>
        <w:tc>
          <w:tcPr>
            <w:tcW w:w="936" w:type="dxa"/>
            <w:tcBorders>
              <w:top w:val="single" w:sz="6" w:space="0" w:color="auto"/>
            </w:tcBorders>
            <w:noWrap/>
            <w:vAlign w:val="center"/>
          </w:tcPr>
          <w:p>
            <w:pPr>
              <w:rPr>
                <w:rFonts w:ascii="Times New Roman" w:hAnsi="Times New Roman"/>
                <w:sz w:val="24"/>
                <w:shd w:val="solid" w:color="FFFFFF" w:fill="FFFFFF"/>
              </w:rPr>
            </w:pPr>
          </w:p>
        </w:tc>
        <w:tc>
          <w:tcPr>
            <w:tcW w:w="1248" w:type="dxa"/>
            <w:tcBorders>
              <w:top w:val="single" w:sz="6" w:space="0" w:color="auto"/>
            </w:tcBorders>
            <w:noWrap/>
            <w:vAlign w:val="center"/>
          </w:tcPr>
          <w:p>
            <w:pPr>
              <w:rPr>
                <w:rFonts w:ascii="Times New Roman" w:hAnsi="Times New Roman"/>
                <w:sz w:val="24"/>
                <w:shd w:val="solid" w:color="FFFFFF" w:fill="FFFFFF"/>
              </w:rPr>
            </w:pPr>
          </w:p>
        </w:tc>
        <w:tc>
          <w:tcPr>
            <w:tcW w:w="1236" w:type="dxa"/>
            <w:tcBorders>
              <w:top w:val="single" w:sz="6" w:space="0" w:color="auto"/>
            </w:tcBorders>
            <w:noWrap/>
            <w:vAlign w:val="center"/>
          </w:tcPr>
          <w:p>
            <w:pPr>
              <w:rPr>
                <w:rFonts w:ascii="Times New Roman" w:hAnsi="Times New Roman"/>
                <w:sz w:val="24"/>
                <w:shd w:val="solid" w:color="FFFFFF" w:fill="FFFFFF"/>
              </w:rPr>
            </w:pPr>
          </w:p>
        </w:tc>
        <w:tc>
          <w:tcPr>
            <w:tcW w:w="1533" w:type="dxa"/>
            <w:tcBorders>
              <w:top w:val="single" w:sz="6" w:space="0" w:color="auto"/>
            </w:tcBorders>
            <w:noWrap/>
            <w:vAlign w:val="center"/>
          </w:tcPr>
          <w:p>
            <w:pPr>
              <w:rPr>
                <w:rFonts w:ascii="Times New Roman" w:hAnsi="Times New Roman"/>
                <w:sz w:val="24"/>
                <w:shd w:val="solid" w:color="FFFFFF" w:fill="FFFFFF"/>
              </w:rPr>
            </w:pPr>
          </w:p>
        </w:tc>
        <w:tc>
          <w:tcPr>
            <w:tcW w:w="1245" w:type="dxa"/>
            <w:tcBorders>
              <w:top w:val="single" w:sz="6" w:space="0" w:color="auto"/>
            </w:tcBorders>
            <w:noWrap/>
            <w:vAlign w:val="center"/>
          </w:tcPr>
          <w:p>
            <w:pPr>
              <w:rPr>
                <w:rFonts w:ascii="Times New Roman" w:hAnsi="Times New Roman"/>
                <w:sz w:val="24"/>
                <w:shd w:val="solid" w:color="FFFFFF" w:fill="FFFFFF"/>
              </w:rPr>
            </w:pPr>
          </w:p>
        </w:tc>
        <w:tc>
          <w:tcPr>
            <w:tcW w:w="1005" w:type="dxa"/>
            <w:tcBorders>
              <w:top w:val="single" w:sz="6" w:space="0" w:color="auto"/>
            </w:tcBorders>
            <w:noWrap/>
            <w:vAlign w:val="center"/>
          </w:tcPr>
          <w:p>
            <w:pPr>
              <w:rPr>
                <w:rFonts w:ascii="Times New Roman" w:hAnsi="Times New Roman"/>
                <w:sz w:val="24"/>
                <w:shd w:val="solid" w:color="FFFFFF" w:fill="FFFFFF"/>
              </w:rPr>
            </w:pPr>
          </w:p>
        </w:tc>
        <w:tc>
          <w:tcPr>
            <w:tcW w:w="1110" w:type="dxa"/>
            <w:tcBorders>
              <w:top w:val="single" w:sz="6" w:space="0" w:color="auto"/>
            </w:tcBorders>
            <w:noWrap/>
            <w:vAlign w:val="center"/>
          </w:tcPr>
          <w:p>
            <w:pPr>
              <w:rPr>
                <w:rFonts w:ascii="Times New Roman" w:hAnsi="Times New Roman"/>
                <w:sz w:val="24"/>
                <w:shd w:val="solid" w:color="FFFFFF" w:fill="FFFFFF"/>
              </w:rPr>
            </w:pPr>
          </w:p>
        </w:tc>
        <w:tc>
          <w:tcPr>
            <w:tcW w:w="1035" w:type="dxa"/>
            <w:tcBorders>
              <w:top w:val="single" w:sz="6" w:space="0" w:color="auto"/>
            </w:tcBorders>
            <w:noWrap/>
            <w:vAlign w:val="center"/>
          </w:tcPr>
          <w:p>
            <w:pPr>
              <w:rPr>
                <w:rFonts w:ascii="Times New Roman" w:hAnsi="Times New Roman"/>
                <w:sz w:val="24"/>
                <w:shd w:val="solid" w:color="FFFFFF" w:fill="FFFFFF"/>
              </w:rPr>
            </w:pPr>
          </w:p>
        </w:tc>
      </w:tr>
      <w:tr>
        <w:trPr>
          <w:trHeight w:val="431"/>
        </w:trPr>
        <w:tc>
          <w:tcPr>
            <w:tcW w:w="14400" w:type="dxa"/>
            <w:gridSpan w:val="12"/>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注：不含国有农场、农业企业、农民合作社、家庭农场、种植大户投保数量。</w:t>
            </w:r>
          </w:p>
        </w:tc>
      </w:tr>
    </w:tbl>
    <w:p>
      <w:pPr>
        <w:rPr>
          <w:shd w:val="solid" w:color="FFFFFF" w:fill="FFFFFF"/>
        </w:rPr>
      </w:pPr>
    </w:p>
    <w:tbl>
      <w:tblPr>
        <w:jc w:val="left"/>
        <w:tblInd w:w="176" w:type="dxa"/>
        <w:tblW w:w="13923"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3108"/>
        <w:gridCol w:w="1905"/>
        <w:gridCol w:w="1785"/>
        <w:gridCol w:w="1921"/>
        <w:gridCol w:w="1815"/>
        <w:gridCol w:w="1530"/>
        <w:gridCol w:w="1860"/>
      </w:tblGrid>
      <w:tr>
        <w:trPr>
          <w:trHeight w:val="335"/>
        </w:trPr>
        <w:tc>
          <w:tcPr>
            <w:tcW w:w="3108" w:type="dxa"/>
            <w:tcBorders>
              <w:top w:val="nil"/>
              <w:left w:val="nil"/>
              <w:bottom w:val="nil"/>
              <w:right w:val="nil"/>
              <w:tl2br w:val="nil"/>
              <w:tr2bl w:val="nil"/>
            </w:tcBorders>
            <w:noWrap/>
            <w:vAlign w:val="center"/>
          </w:tcPr>
          <w:p>
            <w:pPr>
              <w:ind w:left="-164" w:firstLine="14"/>
              <w:rPr>
                <w:rFonts w:ascii="黑体" w:eastAsia="黑体" w:cs="Times New Roman"/>
                <w:sz w:val="28"/>
                <w:shd w:val="solid" w:color="FFFFFF" w:fill="FFFFFF"/>
              </w:rPr>
            </w:pPr>
            <w:r>
              <w:rPr>
                <w:rFonts w:ascii="黑体" w:eastAsia="黑体" w:cs="Times New Roman"/>
                <w:color w:val="000000"/>
                <w:sz w:val="32"/>
                <w:szCs w:val="32"/>
                <w:shd w:val="solid" w:color="FFFFFF" w:fill="FFFFFF"/>
              </w:rPr>
              <w:t>附件4</w:t>
            </w:r>
          </w:p>
        </w:tc>
        <w:tc>
          <w:tcPr>
            <w:tcW w:w="1905" w:type="dxa"/>
            <w:tcBorders>
              <w:top w:val="nil"/>
              <w:left w:val="nil"/>
              <w:bottom w:val="nil"/>
              <w:right w:val="nil"/>
              <w:tl2br w:val="nil"/>
              <w:tr2bl w:val="nil"/>
            </w:tcBorders>
            <w:noWrap/>
            <w:vAlign w:val="center"/>
          </w:tcPr>
          <w:p>
            <w:pPr>
              <w:rPr>
                <w:rFonts w:ascii="宋体"/>
                <w:sz w:val="24"/>
                <w:shd w:val="solid" w:color="FFFFFF" w:fill="FFFFFF"/>
              </w:rPr>
            </w:pPr>
          </w:p>
        </w:tc>
        <w:tc>
          <w:tcPr>
            <w:tcW w:w="1785" w:type="dxa"/>
            <w:tcBorders>
              <w:top w:val="nil"/>
              <w:left w:val="nil"/>
              <w:bottom w:val="nil"/>
              <w:right w:val="nil"/>
              <w:tl2br w:val="nil"/>
              <w:tr2bl w:val="nil"/>
            </w:tcBorders>
            <w:noWrap/>
            <w:vAlign w:val="center"/>
          </w:tcPr>
          <w:p>
            <w:pPr>
              <w:rPr>
                <w:rFonts w:ascii="宋体"/>
                <w:sz w:val="24"/>
                <w:shd w:val="solid" w:color="FFFFFF" w:fill="FFFFFF"/>
              </w:rPr>
            </w:pPr>
          </w:p>
        </w:tc>
        <w:tc>
          <w:tcPr>
            <w:tcW w:w="1921" w:type="dxa"/>
            <w:tcBorders>
              <w:top w:val="nil"/>
              <w:left w:val="nil"/>
              <w:bottom w:val="nil"/>
              <w:right w:val="nil"/>
              <w:tl2br w:val="nil"/>
              <w:tr2bl w:val="nil"/>
            </w:tcBorders>
            <w:noWrap/>
            <w:vAlign w:val="center"/>
          </w:tcPr>
          <w:p>
            <w:pPr>
              <w:rPr>
                <w:rFonts w:ascii="宋体"/>
                <w:sz w:val="24"/>
                <w:shd w:val="solid" w:color="FFFFFF" w:fill="FFFFFF"/>
              </w:rPr>
            </w:pPr>
          </w:p>
        </w:tc>
        <w:tc>
          <w:tcPr>
            <w:tcW w:w="1815" w:type="dxa"/>
            <w:tcBorders>
              <w:top w:val="nil"/>
              <w:left w:val="nil"/>
              <w:bottom w:val="nil"/>
              <w:right w:val="nil"/>
              <w:tl2br w:val="nil"/>
              <w:tr2bl w:val="nil"/>
            </w:tcBorders>
            <w:noWrap/>
            <w:vAlign w:val="center"/>
          </w:tcPr>
          <w:p>
            <w:pPr>
              <w:rPr>
                <w:rFonts w:ascii="Times New Roman" w:hAnsi="Times New Roman"/>
                <w:sz w:val="24"/>
                <w:shd w:val="solid" w:color="FFFFFF" w:fill="FFFFFF"/>
              </w:rPr>
            </w:pPr>
          </w:p>
        </w:tc>
        <w:tc>
          <w:tcPr>
            <w:tcW w:w="1530" w:type="dxa"/>
            <w:tcBorders>
              <w:top w:val="nil"/>
              <w:left w:val="nil"/>
              <w:bottom w:val="nil"/>
              <w:right w:val="nil"/>
              <w:tl2br w:val="nil"/>
              <w:tr2bl w:val="nil"/>
            </w:tcBorders>
            <w:noWrap/>
            <w:vAlign w:val="center"/>
          </w:tcPr>
          <w:p>
            <w:pPr>
              <w:rPr>
                <w:rFonts w:ascii="Times New Roman" w:hAnsi="Times New Roman"/>
                <w:sz w:val="24"/>
                <w:shd w:val="solid" w:color="FFFFFF" w:fill="FFFFFF"/>
              </w:rPr>
            </w:pPr>
          </w:p>
        </w:tc>
        <w:tc>
          <w:tcPr>
            <w:tcW w:w="1860" w:type="dxa"/>
            <w:tcBorders>
              <w:top w:val="nil"/>
              <w:left w:val="nil"/>
              <w:bottom w:val="nil"/>
              <w:right w:val="nil"/>
              <w:tl2br w:val="nil"/>
              <w:tr2bl w:val="nil"/>
            </w:tcBorders>
            <w:noWrap/>
            <w:vAlign w:val="center"/>
          </w:tcPr>
          <w:p>
            <w:pPr>
              <w:rPr>
                <w:rFonts w:ascii="Times New Roman" w:hAnsi="Times New Roman"/>
                <w:sz w:val="24"/>
                <w:shd w:val="solid" w:color="FFFFFF" w:fill="FFFFFF"/>
              </w:rPr>
            </w:pPr>
          </w:p>
        </w:tc>
      </w:tr>
      <w:tr>
        <w:trPr>
          <w:trHeight w:val="839"/>
        </w:trPr>
        <w:tc>
          <w:tcPr>
            <w:tcW w:w="13923" w:type="dxa"/>
            <w:gridSpan w:val="7"/>
            <w:tcBorders>
              <w:top w:val="nil"/>
              <w:left w:val="nil"/>
              <w:bottom w:val="nil"/>
              <w:right w:val="nil"/>
              <w:tl2br w:val="nil"/>
              <w:tr2bl w:val="nil"/>
            </w:tcBorders>
            <w:noWrap/>
            <w:vAlign w:val="center"/>
          </w:tcPr>
          <w:p>
            <w:pPr>
              <w:jc w:val="center"/>
              <w:rPr>
                <w:rFonts w:ascii="方正小标宋简体" w:eastAsia="方正小标宋简体" w:cs="Times New Roman"/>
                <w:sz w:val="36"/>
                <w:shd w:val="solid" w:color="FFFFFF" w:fill="FFFFFF"/>
              </w:rPr>
            </w:pPr>
            <w:r>
              <w:rPr>
                <w:rFonts w:ascii="方正小标宋简体" w:eastAsia="方正小标宋简体" w:cs="Times New Roman"/>
                <w:sz w:val="36"/>
                <w:shd w:val="solid" w:color="FFFFFF" w:fill="FFFFFF"/>
              </w:rPr>
              <w:t>油菜种植保险理赔统计表</w:t>
            </w:r>
          </w:p>
        </w:tc>
      </w:tr>
      <w:tr>
        <w:trPr>
          <w:trHeight w:val="479"/>
        </w:trPr>
        <w:tc>
          <w:tcPr>
            <w:tcW w:w="5013" w:type="dxa"/>
            <w:gridSpan w:val="2"/>
            <w:tcBorders>
              <w:top w:val="nil"/>
              <w:left w:val="nil"/>
              <w:bottom w:val="single" w:sz="6" w:space="0" w:color="auto"/>
              <w:right w:val="nil"/>
              <w:tl2br w:val="nil"/>
              <w:tr2bl w:val="nil"/>
            </w:tcBorders>
            <w:noWrap/>
            <w:vAlign w:val="center"/>
          </w:tcPr>
          <w:p>
            <w:pPr>
              <w:rPr>
                <w:rFonts w:ascii="宋体" w:cs="Times New Roman"/>
                <w:sz w:val="24"/>
                <w:shd w:val="solid" w:color="FFFFFF" w:fill="FFFFFF"/>
              </w:rPr>
            </w:pPr>
            <w:r>
              <w:rPr>
                <w:rFonts w:ascii="宋体" w:cs="Times New Roman"/>
                <w:sz w:val="24"/>
                <w:shd w:val="solid" w:color="FFFFFF" w:fill="FFFFFF"/>
              </w:rPr>
              <w:t>＿＿＿年＿＿＿县（市、区）</w:t>
            </w:r>
          </w:p>
        </w:tc>
        <w:tc>
          <w:tcPr>
            <w:tcW w:w="3705" w:type="dxa"/>
            <w:gridSpan w:val="2"/>
            <w:tcBorders>
              <w:top w:val="nil"/>
              <w:left w:val="nil"/>
              <w:bottom w:val="single" w:sz="6" w:space="0" w:color="auto"/>
              <w:right w:val="nil"/>
              <w:tl2br w:val="nil"/>
              <w:tr2bl w:val="nil"/>
            </w:tcBorders>
            <w:noWrap/>
            <w:vAlign w:val="center"/>
          </w:tcPr>
          <w:p>
            <w:pPr>
              <w:jc w:val="center"/>
              <w:rPr>
                <w:rFonts w:ascii="宋体"/>
                <w:sz w:val="24"/>
                <w:shd w:val="solid" w:color="FFFFFF" w:fill="FFFFFF"/>
              </w:rPr>
            </w:pPr>
          </w:p>
        </w:tc>
        <w:tc>
          <w:tcPr>
            <w:tcW w:w="5204" w:type="dxa"/>
            <w:gridSpan w:val="3"/>
            <w:tcBorders>
              <w:top w:val="nil"/>
              <w:left w:val="nil"/>
              <w:bottom w:val="single" w:sz="6" w:space="0" w:color="auto"/>
              <w:right w:val="nil"/>
              <w:tl2br w:val="nil"/>
              <w:tr2bl w:val="nil"/>
            </w:tcBorders>
            <w:noWrap/>
            <w:vAlign w:val="center"/>
          </w:tcPr>
          <w:p>
            <w:pPr>
              <w:jc w:val="right"/>
              <w:rPr>
                <w:rFonts w:ascii="宋体" w:cs="Times New Roman"/>
                <w:sz w:val="24"/>
                <w:shd w:val="solid" w:color="FFFFFF" w:fill="FFFFFF"/>
              </w:rPr>
            </w:pPr>
            <w:r>
              <w:rPr>
                <w:rFonts w:ascii="宋体" w:cs="Times New Roman"/>
                <w:sz w:val="24"/>
                <w:shd w:val="solid" w:color="FFFFFF" w:fill="FFFFFF"/>
              </w:rPr>
              <w:t>单位：户、亩、元</w:t>
            </w:r>
          </w:p>
        </w:tc>
      </w:tr>
      <w:tr>
        <w:trPr>
          <w:trHeight w:val="815"/>
        </w:trPr>
        <w:tc>
          <w:tcPr>
            <w:tcW w:w="310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单   位</w:t>
            </w:r>
          </w:p>
        </w:tc>
        <w:tc>
          <w:tcPr>
            <w:tcW w:w="5611"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承保数量</w:t>
            </w:r>
          </w:p>
        </w:tc>
        <w:tc>
          <w:tcPr>
            <w:tcW w:w="5204"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理赔数量</w:t>
            </w:r>
          </w:p>
        </w:tc>
      </w:tr>
      <w:tr>
        <w:trPr>
          <w:trHeight w:val="731"/>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9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户数</w:t>
            </w:r>
          </w:p>
        </w:tc>
        <w:tc>
          <w:tcPr>
            <w:tcW w:w="17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面积</w:t>
            </w:r>
          </w:p>
        </w:tc>
        <w:tc>
          <w:tcPr>
            <w:tcW w:w="1921" w:type="dxa"/>
            <w:tcBorders>
              <w:top w:val="single" w:sz="6" w:space="0" w:color="auto"/>
              <w:left w:val="single" w:sz="6" w:space="0" w:color="auto"/>
              <w:bottom w:val="single" w:sz="6" w:space="0" w:color="auto"/>
              <w:right w:val="nil"/>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 xml:space="preserve">保费 </w:t>
            </w:r>
          </w:p>
        </w:tc>
        <w:tc>
          <w:tcPr>
            <w:tcW w:w="181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户数</w:t>
            </w:r>
          </w:p>
        </w:tc>
        <w:tc>
          <w:tcPr>
            <w:tcW w:w="15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面积</w:t>
            </w: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金额</w:t>
            </w: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一、乡镇（或街道办）</w:t>
            </w:r>
          </w:p>
        </w:tc>
        <w:tc>
          <w:tcPr>
            <w:tcW w:w="19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w:t>
            </w:r>
          </w:p>
        </w:tc>
        <w:tc>
          <w:tcPr>
            <w:tcW w:w="19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w:t>
            </w:r>
          </w:p>
        </w:tc>
        <w:tc>
          <w:tcPr>
            <w:tcW w:w="190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二、国有农场</w:t>
            </w:r>
          </w:p>
        </w:tc>
        <w:tc>
          <w:tcPr>
            <w:tcW w:w="19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三、农业企业</w:t>
            </w:r>
          </w:p>
        </w:tc>
        <w:tc>
          <w:tcPr>
            <w:tcW w:w="19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四、农民合作社</w:t>
            </w:r>
          </w:p>
        </w:tc>
        <w:tc>
          <w:tcPr>
            <w:tcW w:w="19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五、家庭农场</w:t>
            </w:r>
          </w:p>
        </w:tc>
        <w:tc>
          <w:tcPr>
            <w:tcW w:w="19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shd w:val="solid" w:color="FFFFFF" w:fill="FFFFFF"/>
              </w:rPr>
            </w:pPr>
            <w:r>
              <w:rPr>
                <w:rFonts w:ascii="仿宋_GB2312" w:eastAsia="仿宋_GB2312" w:cs="Times New Roman"/>
                <w:sz w:val="24"/>
                <w:shd w:val="solid" w:color="FFFFFF" w:fill="FFFFFF"/>
              </w:rPr>
              <w:t>六、种植大户</w:t>
            </w:r>
          </w:p>
        </w:tc>
        <w:tc>
          <w:tcPr>
            <w:tcW w:w="19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r>
      <w:tr>
        <w:trPr>
          <w:trHeight w:val="503"/>
        </w:trPr>
        <w:tc>
          <w:tcPr>
            <w:tcW w:w="31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shd w:val="solid" w:color="FFFFFF" w:fill="FFFFFF"/>
              </w:rPr>
            </w:pPr>
            <w:r>
              <w:rPr>
                <w:rFonts w:ascii="仿宋_GB2312" w:eastAsia="仿宋_GB2312" w:cs="Times New Roman"/>
                <w:sz w:val="24"/>
                <w:shd w:val="solid" w:color="FFFFFF" w:fill="FFFFFF"/>
              </w:rPr>
              <w:t>合  计</w:t>
            </w:r>
          </w:p>
        </w:tc>
        <w:tc>
          <w:tcPr>
            <w:tcW w:w="190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7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921"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1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5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c>
          <w:tcPr>
            <w:tcW w:w="186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shd w:val="solid" w:color="FFFFFF" w:fill="FFFFFF"/>
              </w:rPr>
            </w:pPr>
          </w:p>
        </w:tc>
      </w:tr>
    </w:tbl>
    <w:p>
      <w:pPr>
        <w:rPr>
          <w:shd w:val="solid" w:color="FFFFFF" w:fill="FFFFFF"/>
        </w:rPr>
      </w:pPr>
    </w:p>
    <w:sectPr>
      <w:pgSz w:w="16840" w:h="11907" w:orient="landscape"/>
      <w:pgMar w:top="1418" w:right="1418" w:bottom="1418" w:left="1418" w:header="851" w:footer="1134"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8"/>
        <w:szCs w:val="28"/>
      </w:rPr>
    </w:pPr>
    <w:r>
      <w:rPr>
        <w:rStyle w:val="22"/>
        <w:rFonts w:ascii="宋体" w:hint="eastAsia"/>
        <w:sz w:val="28"/>
        <w:szCs w:val="28"/>
      </w:rPr>
      <w:fldChar w:fldCharType="begin"/>
    </w:r>
    <w:r>
      <w:rPr>
        <w:rStyle w:val="22"/>
        <w:rFonts w:ascii="宋体" w:hint="eastAsia"/>
        <w:sz w:val="28"/>
        <w:szCs w:val="28"/>
      </w:rPr>
      <w:instrText>Page</w:instrText>
    </w:r>
    <w:r>
      <w:rPr>
        <w:rStyle w:val="22"/>
        <w:rFonts w:ascii="宋体" w:hint="eastAsia"/>
        <w:sz w:val="28"/>
        <w:szCs w:val="28"/>
      </w:rPr>
      <w:fldChar w:fldCharType="separate"/>
    </w:r>
    <w:r>
      <w:rPr>
        <w:rStyle w:val="22"/>
        <w:rFonts w:ascii="宋体" w:hint="eastAsia"/>
        <w:sz w:val="28"/>
        <w:szCs w:val="28"/>
      </w:rPr>
      <w:t>- 52 -</w:t>
    </w:r>
    <w:r>
      <w:rPr>
        <w:rStyle w:val="22"/>
        <w:rFonts w:ascii="宋体" w:hint="eastAsia"/>
        <w:sz w:val="28"/>
        <w:szCs w:val="28"/>
      </w:rPr>
      <w:fldChar w:fldCharType="end"/>
    </w:r>
  </w:p>
  <w:p>
    <w:pPr>
      <w:pStyle w:val="21"/>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22"/>
      </w:rPr>
      <w:fldChar w:fldCharType="begin"/>
    </w:r>
    <w:r>
      <w:rPr>
        <w:rStyle w:val="22"/>
      </w:rPr>
      <w:instrText>Page</w:instrText>
    </w:r>
    <w:r>
      <w:rPr>
        <w:rStyle w:val="22"/>
      </w:rPr>
      <w:fldChar w:fldCharType="separate"/>
    </w:r>
    <w:r>
      <w:rPr>
        <w:rStyle w:val="22"/>
      </w:rPr>
      <w:t>- 52 -</w:t>
    </w:r>
    <w:r>
      <w:rPr>
        <w:rStyle w:val="22"/>
      </w:rPr>
      <w:fldChar w:fldCharType="end"/>
    </w:r>
  </w:p>
  <w:p>
    <w:pPr>
      <w:pStyle w:val="21"/>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6"/>
    <w:basedOn w:val="0"/>
    <w:next w:val="0"/>
    <w:pPr>
      <w:ind w:left="2100"/>
    </w:pPr>
  </w:style>
  <w:style w:type="paragraph" w:styleId="16">
    <w:name w:val="index 7"/>
    <w:basedOn w:val="0"/>
    <w:next w:val="0"/>
    <w:pPr>
      <w:ind w:left="2520"/>
    </w:pPr>
  </w:style>
  <w:style w:type="paragraph" w:styleId="17">
    <w:name w:val="Normal (Web)"/>
    <w:next w:val="15"/>
    <w:pPr>
      <w:widowControl w:val="0"/>
      <w:spacing w:before="100" w:beforeAutospacing="1" w:after="100" w:afterAutospacing="1"/>
    </w:pPr>
    <w:rPr>
      <w:rFonts w:ascii="Times New Roman" w:eastAsia="宋体" w:cs="Times New Roman" w:hAnsi="Times New Roman"/>
      <w:sz w:val="24"/>
      <w:szCs w:val="24"/>
      <w:lang w:val="en-US" w:eastAsia="zh-CN" w:bidi="ar-SA"/>
    </w:rPr>
  </w:style>
  <w:style w:type="character" w:customStyle="1" w:styleId="18">
    <w:name w:val="15"/>
    <w:rPr>
      <w:rFonts w:ascii="Times New Roman" w:cs="Times New Roman" w:hAnsi="Times New Roman"/>
      <w:b/>
      <w:bCs/>
      <w:lang w:bidi="ar-SA"/>
    </w:rPr>
  </w:style>
  <w:style w:type="paragraph" w:customStyle="1" w:styleId="19">
    <w:name w:val="Char"/>
    <w:next w:val="15"/>
    <w:pPr>
      <w:spacing w:after="160" w:line="240" w:lineRule="exact"/>
    </w:pPr>
    <w:rPr>
      <w:rFonts w:ascii="Verdana" w:eastAsia="宋体" w:cs="Times New Roman" w:hAnsi="Verdana"/>
      <w:lang w:val="en-US" w:eastAsia="en-US" w:bidi="ar-SA"/>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footer"/>
    <w:basedOn w:val="0"/>
    <w:pPr>
      <w:tabs>
        <w:tab w:val="center" w:pos="4153"/>
        <w:tab w:val="right" w:pos="8306"/>
      </w:tabs>
      <w:snapToGrid w:val="0"/>
      <w:jc w:val="left"/>
    </w:pPr>
    <w:rPr>
      <w:sz w:val="18"/>
      <w:szCs w:val="18"/>
    </w:rPr>
  </w:style>
  <w:style w:type="character" w:styleId="22">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916</TotalTime>
  <Application>Yozo_Office</Application>
  <Pages>10</Pages>
  <Words>2774</Words>
  <Characters>2844</Characters>
  <Lines>643</Lines>
  <Paragraphs>153</Paragraphs>
  <CharactersWithSpaces>2904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2</cp:revision>
  <cp:lastPrinted>2021-03-29T03:42:58Z</cp:lastPrinted>
  <dcterms:created xsi:type="dcterms:W3CDTF">2020-11-20T02:19:00Z</dcterms:created>
  <dcterms:modified xsi:type="dcterms:W3CDTF">2021-04-02T01:42:05Z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