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utoSpaceDE w:val="0"/>
        <w:autoSpaceDN w:val="0"/>
        <w:adjustRightInd w:val="0"/>
        <w:spacing w:line="600" w:lineRule="exact"/>
        <w:ind w:left="0"/>
        <w:jc w:val="left"/>
        <w:rPr>
          <w:rFonts w:ascii="黑体" w:eastAsia="黑体" w:cs="Times New Roman" w:hint="eastAsia"/>
          <w:kern w:val="0"/>
          <w:sz w:val="32"/>
          <w:szCs w:val="32"/>
          <w:lang w:val="zh-CN" w:eastAsia="zh-CN" w:bidi="ar-SA"/>
        </w:rPr>
      </w:pPr>
      <w:bookmarkStart w:id="0" w:name="_GoBack"/>
      <w:bookmarkEnd w:id="0"/>
      <w:r>
        <w:rPr>
          <w:rFonts w:ascii="黑体" w:eastAsia="黑体" w:cs="Times New Roman" w:hint="eastAsia"/>
          <w:kern w:val="0"/>
          <w:sz w:val="32"/>
          <w:szCs w:val="32"/>
          <w:lang w:val="zh-CN" w:eastAsia="zh-CN" w:bidi="ar-SA"/>
        </w:rPr>
        <w:t>附件</w:t>
      </w:r>
    </w:p>
    <w:p>
      <w:pPr>
        <w:autoSpaceDE w:val="0"/>
        <w:autoSpaceDN w:val="0"/>
        <w:adjustRightInd w:val="0"/>
        <w:spacing w:line="600" w:lineRule="exact"/>
        <w:ind w:left="0"/>
        <w:jc w:val="center"/>
        <w:rPr>
          <w:rFonts w:ascii="方正小标宋简体" w:eastAsia="方正小标宋简体" w:cs="Times New Roman"/>
          <w:kern w:val="0"/>
          <w:sz w:val="32"/>
          <w:szCs w:val="32"/>
          <w:lang w:val="zh-CN" w:eastAsia="zh-CN" w:bidi="ar-SA"/>
        </w:rPr>
      </w:pPr>
    </w:p>
    <w:p>
      <w:pPr>
        <w:autoSpaceDE w:val="0"/>
        <w:autoSpaceDN w:val="0"/>
        <w:adjustRightInd w:val="0"/>
        <w:spacing w:line="600" w:lineRule="exact"/>
        <w:ind w:left="0"/>
        <w:jc w:val="center"/>
        <w:rPr>
          <w:rFonts w:ascii="方正小标宋简体" w:eastAsia="方正小标宋简体" w:cs="Times New Roman" w:hint="eastAsia"/>
          <w:kern w:val="0"/>
          <w:sz w:val="44"/>
          <w:szCs w:val="44"/>
          <w:lang w:val="zh-CN" w:eastAsia="zh-CN" w:bidi="ar-SA"/>
        </w:rPr>
      </w:pPr>
      <w:r>
        <w:rPr>
          <w:rFonts w:ascii="方正小标宋简体" w:eastAsia="方正小标宋简体" w:cs="Times New Roman" w:hint="eastAsia"/>
          <w:kern w:val="0"/>
          <w:sz w:val="44"/>
          <w:szCs w:val="44"/>
          <w:lang w:val="zh-CN" w:eastAsia="zh-CN" w:bidi="ar-SA"/>
        </w:rPr>
        <w:t>《福建省农业（不含渔业）综合行政执法事项</w:t>
      </w:r>
    </w:p>
    <w:p>
      <w:pPr>
        <w:autoSpaceDE w:val="0"/>
        <w:autoSpaceDN w:val="0"/>
        <w:adjustRightInd w:val="0"/>
        <w:spacing w:line="600" w:lineRule="exact"/>
        <w:ind w:left="0"/>
        <w:jc w:val="center"/>
        <w:rPr>
          <w:rFonts w:ascii="方正小标宋简体" w:eastAsia="方正小标宋简体" w:hint="eastAsia"/>
          <w:sz w:val="44"/>
          <w:szCs w:val="44"/>
          <w:lang w:val="zh-CN" w:eastAsia="zh-CN" w:bidi="ar-SA"/>
        </w:rPr>
      </w:pPr>
      <w:r>
        <w:rPr>
          <w:rFonts w:ascii="方正小标宋简体" w:eastAsia="方正小标宋简体" w:cs="Times New Roman" w:hint="eastAsia"/>
          <w:kern w:val="0"/>
          <w:sz w:val="44"/>
          <w:szCs w:val="44"/>
          <w:lang w:val="zh-CN" w:eastAsia="zh-CN" w:bidi="ar-SA"/>
        </w:rPr>
        <w:t>指导目录（2020年版）》说明</w:t>
      </w:r>
    </w:p>
    <w:p>
      <w:pPr>
        <w:autoSpaceDE w:val="0"/>
        <w:autoSpaceDN w:val="0"/>
        <w:adjustRightInd w:val="0"/>
        <w:spacing w:line="600" w:lineRule="exact"/>
        <w:ind w:left="0" w:firstLineChars="200" w:firstLine="640"/>
        <w:rPr>
          <w:rFonts w:ascii="仿宋_GB2312" w:eastAsia="仿宋_GB2312"/>
          <w:sz w:val="32"/>
          <w:szCs w:val="32"/>
          <w:lang w:val="zh-CN" w:eastAsia="zh-CN" w:bidi="ar-SA"/>
        </w:rPr>
      </w:pPr>
    </w:p>
    <w:p>
      <w:pPr>
        <w:autoSpaceDE w:val="0"/>
        <w:autoSpaceDN w:val="0"/>
        <w:adjustRightInd w:val="0"/>
        <w:spacing w:line="600" w:lineRule="exact"/>
        <w:ind w:left="0" w:firstLineChars="200" w:firstLine="640"/>
        <w:rPr>
          <w:rFonts w:ascii="仿宋_GB2312" w:eastAsia="仿宋_GB2312"/>
          <w:sz w:val="32"/>
          <w:szCs w:val="32"/>
          <w:lang w:val="zh-CN"/>
        </w:rPr>
      </w:pPr>
      <w:r>
        <w:rPr>
          <w:rFonts w:ascii="黑体" w:eastAsia="黑体" w:hint="eastAsia"/>
          <w:sz w:val="32"/>
          <w:szCs w:val="32"/>
        </w:rPr>
        <w:t>一、关于主要内容。</w:t>
      </w:r>
      <w:r>
        <w:rPr>
          <w:rFonts w:ascii="仿宋_GB2312" w:eastAsia="仿宋_GB2312" w:hint="eastAsia"/>
          <w:sz w:val="32"/>
          <w:szCs w:val="32"/>
          <w:lang w:val="zh-CN"/>
        </w:rPr>
        <w:t>《</w:t>
      </w:r>
      <w:r>
        <w:rPr>
          <w:rFonts w:ascii="仿宋_GB2312" w:eastAsia="仿宋_GB2312"/>
          <w:sz w:val="32"/>
          <w:szCs w:val="32"/>
          <w:lang w:val="zh-CN"/>
        </w:rPr>
        <w:t>福建省农业（不含渔业）综合行政执法事项指导目录（2020年版）</w:t>
      </w:r>
      <w:r>
        <w:rPr>
          <w:rFonts w:ascii="仿宋_GB2312" w:eastAsia="仿宋_GB2312" w:hint="eastAsia"/>
          <w:sz w:val="32"/>
          <w:szCs w:val="32"/>
          <w:lang w:val="zh-CN"/>
        </w:rPr>
        <w:t>》（以下简称《指导目录》）主要梳理规范了农业综合行政执法的事项名称、职权类型、实施依据、实施主体（包括责任部门、第一责任层级建议）。各地可根据法律法规立改废释和地方立法等情况，进行补充、细化和完善，进一步明确行政执法事项的责任主体，研究细化执法事项的工作程序、规则、自由裁量标准等，严格规范公正文明执法。</w:t>
      </w:r>
    </w:p>
    <w:p>
      <w:pPr>
        <w:autoSpaceDE w:val="0"/>
        <w:autoSpaceDN w:val="0"/>
        <w:adjustRightInd w:val="0"/>
        <w:spacing w:line="600" w:lineRule="exact"/>
        <w:ind w:left="0" w:firstLineChars="200" w:firstLine="640"/>
        <w:rPr>
          <w:rFonts w:ascii="仿宋_GB2312" w:eastAsia="仿宋_GB2312" w:hint="eastAsia"/>
          <w:sz w:val="32"/>
          <w:szCs w:val="32"/>
          <w:lang w:val="zh-CN" w:eastAsia="zh-CN" w:bidi="ar-SA"/>
        </w:rPr>
      </w:pPr>
      <w:r>
        <w:rPr>
          <w:rFonts w:ascii="黑体" w:eastAsia="黑体" w:hint="eastAsia"/>
          <w:sz w:val="32"/>
          <w:szCs w:val="32"/>
          <w:lang w:val="zh-CN"/>
        </w:rPr>
        <w:t>二、关于梳理范围。</w:t>
      </w:r>
      <w:r>
        <w:rPr>
          <w:rFonts w:ascii="仿宋_GB2312" w:eastAsia="仿宋_GB2312" w:hint="eastAsia"/>
          <w:sz w:val="32"/>
          <w:szCs w:val="32"/>
          <w:lang w:val="zh-CN"/>
        </w:rPr>
        <w:t>《指导目录》主要梳理的是农业农村领域</w:t>
      </w:r>
      <w:r>
        <w:rPr>
          <w:rFonts w:ascii="仿宋_GB2312" w:eastAsia="仿宋_GB2312"/>
          <w:sz w:val="32"/>
          <w:szCs w:val="32"/>
          <w:lang w:val="zh-CN"/>
        </w:rPr>
        <w:t>（不含渔业）</w:t>
      </w:r>
      <w:r>
        <w:rPr>
          <w:rFonts w:ascii="仿宋_GB2312" w:eastAsia="仿宋_GB2312" w:hint="eastAsia"/>
          <w:sz w:val="32"/>
          <w:szCs w:val="32"/>
          <w:lang w:val="zh-CN"/>
        </w:rPr>
        <w:t>现行有效的法律、行政法规设定的行政处罚和行政强制事项，部门规章设定的警告、罚款的行政处罚事项</w:t>
      </w:r>
      <w:r>
        <w:rPr>
          <w:rFonts w:ascii="仿宋_GB2312" w:eastAsia="仿宋_GB2312"/>
          <w:sz w:val="32"/>
          <w:szCs w:val="32"/>
          <w:lang w:val="zh-CN"/>
        </w:rPr>
        <w:t>，</w:t>
      </w:r>
      <w:r>
        <w:rPr>
          <w:rFonts w:ascii="仿宋_GB2312" w:eastAsia="仿宋_GB2312" w:hint="eastAsia"/>
          <w:sz w:val="32"/>
          <w:szCs w:val="32"/>
          <w:lang w:val="zh-CN"/>
        </w:rPr>
        <w:t>以及</w:t>
      </w:r>
      <w:r>
        <w:rPr>
          <w:rFonts w:ascii="仿宋_GB2312" w:eastAsia="仿宋_GB2312" w:hint="eastAsia"/>
          <w:sz w:val="32"/>
          <w:szCs w:val="32"/>
          <w:lang w:val="zh-CN" w:eastAsia="zh-CN"/>
        </w:rPr>
        <w:t>我省现行有效的地方性法规设定的行政处罚和行政强制事项</w:t>
      </w:r>
      <w:r>
        <w:rPr>
          <w:rFonts w:ascii="仿宋_GB2312" w:eastAsia="仿宋_GB2312"/>
          <w:sz w:val="32"/>
          <w:szCs w:val="32"/>
          <w:lang w:val="zh-CN" w:eastAsia="zh-CN"/>
        </w:rPr>
        <w:t>，政府规章</w:t>
      </w:r>
      <w:r>
        <w:rPr>
          <w:rFonts w:ascii="仿宋_GB2312" w:eastAsia="仿宋_GB2312" w:hint="eastAsia"/>
          <w:sz w:val="32"/>
          <w:szCs w:val="32"/>
          <w:lang w:val="zh-CN" w:eastAsia="zh-CN"/>
        </w:rPr>
        <w:t>设定的行政处罚</w:t>
      </w:r>
      <w:r>
        <w:rPr>
          <w:rFonts w:ascii="仿宋_GB2312" w:eastAsia="仿宋_GB2312" w:hint="eastAsia"/>
          <w:sz w:val="32"/>
          <w:szCs w:val="32"/>
          <w:lang w:val="zh-CN"/>
        </w:rPr>
        <w:t>事项</w:t>
      </w:r>
      <w:r>
        <w:rPr>
          <w:rFonts w:ascii="仿宋_GB2312" w:eastAsia="仿宋_GB2312" w:hint="eastAsia"/>
          <w:sz w:val="32"/>
          <w:szCs w:val="32"/>
          <w:lang w:val="zh-CN" w:eastAsia="zh-CN"/>
        </w:rPr>
        <w:t>。</w:t>
      </w:r>
      <w:r>
        <w:rPr>
          <w:rFonts w:ascii="仿宋_GB2312" w:eastAsia="仿宋_GB2312" w:hint="eastAsia"/>
          <w:sz w:val="32"/>
          <w:szCs w:val="32"/>
          <w:lang w:val="zh-CN"/>
        </w:rPr>
        <w:t>以后</w:t>
      </w:r>
      <w:r>
        <w:rPr>
          <w:rFonts w:ascii="仿宋_GB2312" w:eastAsia="仿宋_GB2312"/>
          <w:sz w:val="32"/>
          <w:szCs w:val="32"/>
          <w:lang w:val="zh-CN"/>
        </w:rPr>
        <w:t>如有改变，</w:t>
      </w:r>
      <w:r>
        <w:rPr>
          <w:rFonts w:ascii="仿宋_GB2312" w:eastAsia="仿宋_GB2312" w:hint="eastAsia"/>
          <w:sz w:val="32"/>
          <w:szCs w:val="32"/>
          <w:lang w:val="zh-CN"/>
        </w:rPr>
        <w:t>将按程序进行动态调整。</w:t>
      </w:r>
    </w:p>
    <w:p>
      <w:pPr>
        <w:autoSpaceDE w:val="0"/>
        <w:autoSpaceDN w:val="0"/>
        <w:adjustRightInd w:val="0"/>
        <w:spacing w:line="600" w:lineRule="exact"/>
        <w:ind w:left="0" w:firstLineChars="200" w:firstLine="640"/>
        <w:rPr>
          <w:rFonts w:ascii="仿宋_GB2312" w:eastAsia="仿宋_GB2312"/>
          <w:sz w:val="32"/>
          <w:szCs w:val="32"/>
          <w:lang w:val="zh-CN" w:eastAsia="zh-CN"/>
        </w:rPr>
      </w:pPr>
      <w:r>
        <w:rPr>
          <w:rFonts w:ascii="黑体" w:eastAsia="黑体" w:hint="eastAsia"/>
          <w:sz w:val="32"/>
          <w:szCs w:val="32"/>
          <w:lang w:val="zh-CN"/>
        </w:rPr>
        <w:t>三、关于事项确定。</w:t>
      </w:r>
      <w:r>
        <w:rPr>
          <w:rFonts w:ascii="仿宋_GB2312" w:eastAsia="仿宋_GB2312" w:hint="eastAsia"/>
          <w:b/>
          <w:bCs/>
          <w:sz w:val="32"/>
          <w:szCs w:val="32"/>
          <w:lang w:val="zh-CN"/>
        </w:rPr>
        <w:t>一是</w:t>
      </w:r>
      <w:r>
        <w:rPr>
          <w:rFonts w:ascii="仿宋_GB2312" w:eastAsia="仿宋_GB2312" w:hint="eastAsia"/>
          <w:sz w:val="32"/>
          <w:szCs w:val="32"/>
          <w:lang w:val="zh-CN"/>
        </w:rPr>
        <w:t xml:space="preserve">为避免法律、行政法规和部门规章相关条款在实施依据中多次重复援引，原则上按法律、行政法规和部门规章的“条”或“款”来确定为一个事项。 </w:t>
      </w:r>
      <w:r>
        <w:rPr>
          <w:rFonts w:ascii="仿宋_GB2312" w:eastAsia="仿宋_GB2312" w:hint="eastAsia"/>
          <w:b/>
          <w:bCs/>
          <w:sz w:val="32"/>
          <w:szCs w:val="32"/>
          <w:lang w:val="zh-CN"/>
        </w:rPr>
        <w:t>二是</w:t>
      </w:r>
      <w:r>
        <w:rPr>
          <w:rFonts w:ascii="仿宋_GB2312" w:eastAsia="仿宋_GB2312" w:hint="eastAsia"/>
          <w:sz w:val="32"/>
          <w:szCs w:val="32"/>
          <w:lang w:val="zh-CN"/>
        </w:rPr>
        <w:t xml:space="preserve">对“条”或“款”中罗列的多项具体违法情形，原则上不再拆分为多个事项；但罗列的违法情形涉及援引其他法律、行政法规和部门规章条款的，单独作为一个事项列出。 </w:t>
      </w:r>
      <w:r>
        <w:rPr>
          <w:rFonts w:ascii="仿宋_GB2312" w:eastAsia="仿宋_GB2312" w:hint="eastAsia"/>
          <w:b/>
          <w:bCs/>
          <w:sz w:val="32"/>
          <w:szCs w:val="32"/>
          <w:lang w:val="zh-CN"/>
        </w:rPr>
        <w:t>三是</w:t>
      </w:r>
      <w:r>
        <w:rPr>
          <w:rFonts w:ascii="仿宋_GB2312" w:eastAsia="仿宋_GB2312" w:hint="eastAsia"/>
          <w:sz w:val="32"/>
          <w:szCs w:val="32"/>
          <w:lang w:val="zh-CN"/>
        </w:rPr>
        <w:t>同一法律行政法规条款同时包含行政处罚、行政强制事项的，分别作为一个事项列出。</w:t>
      </w:r>
      <w:r>
        <w:rPr>
          <w:rFonts w:ascii="仿宋_GB2312" w:eastAsia="仿宋_GB2312" w:hint="eastAsia"/>
          <w:b/>
          <w:bCs/>
          <w:sz w:val="32"/>
          <w:szCs w:val="32"/>
          <w:lang w:val="zh-CN"/>
        </w:rPr>
        <w:t>四是</w:t>
      </w:r>
      <w:r>
        <w:rPr>
          <w:rFonts w:ascii="仿宋_GB2312" w:eastAsia="仿宋_GB2312" w:hint="eastAsia"/>
          <w:sz w:val="32"/>
          <w:szCs w:val="32"/>
          <w:lang w:val="zh-CN" w:eastAsia="zh-CN"/>
        </w:rPr>
        <w:t>我省现行有效的地方性法规</w:t>
      </w:r>
      <w:r>
        <w:rPr>
          <w:rFonts w:ascii="仿宋_GB2312" w:eastAsia="仿宋_GB2312"/>
          <w:sz w:val="32"/>
          <w:szCs w:val="32"/>
          <w:lang w:val="zh-CN" w:eastAsia="zh-CN"/>
        </w:rPr>
        <w:t>、规章</w:t>
      </w:r>
      <w:r>
        <w:rPr>
          <w:rFonts w:ascii="仿宋_GB2312" w:eastAsia="仿宋_GB2312" w:hint="eastAsia"/>
          <w:sz w:val="32"/>
          <w:szCs w:val="32"/>
          <w:lang w:val="zh-CN" w:eastAsia="zh-CN"/>
        </w:rPr>
        <w:t>设定的行政处罚</w:t>
      </w:r>
      <w:r>
        <w:rPr>
          <w:rFonts w:ascii="仿宋_GB2312" w:eastAsia="仿宋_GB2312"/>
          <w:sz w:val="32"/>
          <w:szCs w:val="32"/>
          <w:lang w:val="zh-CN" w:eastAsia="zh-CN"/>
        </w:rPr>
        <w:t>或</w:t>
      </w:r>
      <w:r>
        <w:rPr>
          <w:rFonts w:ascii="仿宋_GB2312" w:eastAsia="仿宋_GB2312" w:hint="eastAsia"/>
          <w:sz w:val="32"/>
          <w:szCs w:val="32"/>
          <w:lang w:val="zh-CN" w:eastAsia="zh-CN"/>
        </w:rPr>
        <w:t>行政强制事项</w:t>
      </w:r>
      <w:r>
        <w:rPr>
          <w:rFonts w:ascii="仿宋_GB2312" w:eastAsia="仿宋_GB2312"/>
          <w:sz w:val="32"/>
          <w:szCs w:val="32"/>
          <w:lang w:val="zh-CN" w:eastAsia="zh-CN"/>
        </w:rPr>
        <w:t>一般单独列出</w:t>
      </w:r>
      <w:r>
        <w:rPr>
          <w:rFonts w:ascii="仿宋_GB2312" w:eastAsia="仿宋_GB2312" w:hint="eastAsia"/>
          <w:sz w:val="32"/>
          <w:szCs w:val="32"/>
          <w:lang w:val="zh-CN" w:eastAsia="zh-CN"/>
        </w:rPr>
        <w:t>。</w:t>
      </w:r>
    </w:p>
    <w:p>
      <w:pPr>
        <w:autoSpaceDE w:val="0"/>
        <w:autoSpaceDN w:val="0"/>
        <w:adjustRightInd w:val="0"/>
        <w:spacing w:line="600" w:lineRule="exact"/>
        <w:ind w:left="0" w:firstLineChars="200" w:firstLine="640"/>
        <w:rPr>
          <w:rFonts w:ascii="仿宋_GB2312" w:eastAsia="仿宋_GB2312" w:cs="宋体" w:hint="eastAsia"/>
          <w:bCs/>
          <w:sz w:val="32"/>
          <w:szCs w:val="32"/>
          <w:lang w:val="zh-CN" w:eastAsia="zh-CN" w:bidi="ar-SA"/>
        </w:rPr>
      </w:pPr>
      <w:r>
        <w:rPr>
          <w:rFonts w:ascii="黑体" w:eastAsia="黑体" w:hint="eastAsia"/>
          <w:sz w:val="32"/>
          <w:szCs w:val="32"/>
          <w:lang w:val="zh-CN"/>
        </w:rPr>
        <w:t>四、关于事项名称。</w:t>
      </w:r>
      <w:r>
        <w:rPr>
          <w:rFonts w:ascii="仿宋_GB2312" w:eastAsia="仿宋_GB2312" w:hint="eastAsia"/>
          <w:sz w:val="32"/>
          <w:szCs w:val="32"/>
          <w:lang w:val="zh-CN"/>
        </w:rPr>
        <w:t xml:space="preserve"> </w:t>
      </w:r>
      <w:r>
        <w:rPr>
          <w:rFonts w:ascii="仿宋_GB2312" w:eastAsia="仿宋_GB2312" w:hint="eastAsia"/>
          <w:b/>
          <w:bCs/>
          <w:sz w:val="32"/>
          <w:szCs w:val="32"/>
          <w:lang w:val="zh-CN"/>
        </w:rPr>
        <w:t>一是</w:t>
      </w:r>
      <w:r>
        <w:rPr>
          <w:rFonts w:ascii="仿宋_GB2312" w:eastAsia="仿宋_GB2312" w:hint="eastAsia"/>
          <w:sz w:val="32"/>
          <w:szCs w:val="32"/>
          <w:lang w:val="zh-CN"/>
        </w:rPr>
        <w:t>列入《指导目录》的行政处罚、行政强制事项名称，原则上根据设定该事项的法律、行政法规和部门规章条款内容进行概括提炼，统一规范为“对××行为的行政处罚（行政强制）”。</w:t>
      </w:r>
      <w:r>
        <w:rPr>
          <w:rFonts w:ascii="仿宋_GB2312" w:eastAsia="仿宋_GB2312" w:hint="eastAsia"/>
          <w:b/>
          <w:bCs/>
          <w:sz w:val="32"/>
          <w:szCs w:val="32"/>
          <w:lang w:val="zh-CN"/>
        </w:rPr>
        <w:t xml:space="preserve"> 二是</w:t>
      </w:r>
      <w:r>
        <w:rPr>
          <w:rFonts w:ascii="仿宋_GB2312" w:eastAsia="仿宋_GB2312" w:hint="eastAsia"/>
          <w:sz w:val="32"/>
          <w:szCs w:val="32"/>
          <w:lang w:val="zh-CN"/>
        </w:rPr>
        <w:t>部分涉及多种违法情形、难以概括提炼的，以罗列的多种违法情形中的第一项为代表，统一规范为“对××等行为的行政处罚（行政强制）”。</w:t>
      </w:r>
    </w:p>
    <w:p>
      <w:pPr>
        <w:autoSpaceDE w:val="0"/>
        <w:autoSpaceDN w:val="0"/>
        <w:adjustRightInd w:val="0"/>
        <w:spacing w:line="600" w:lineRule="exact"/>
        <w:ind w:left="0" w:firstLineChars="200" w:firstLine="640"/>
        <w:rPr>
          <w:rFonts w:ascii="仿宋_GB2312" w:eastAsia="仿宋_GB2312" w:hint="eastAsia"/>
          <w:sz w:val="32"/>
          <w:szCs w:val="32"/>
          <w:lang w:val="zh-CN"/>
        </w:rPr>
      </w:pPr>
      <w:r>
        <w:rPr>
          <w:rFonts w:ascii="黑体" w:eastAsia="黑体" w:hint="eastAsia"/>
          <w:sz w:val="32"/>
          <w:szCs w:val="32"/>
          <w:lang w:val="zh-CN"/>
        </w:rPr>
        <w:t>五、关于实施依据。</w:t>
      </w:r>
      <w:r>
        <w:rPr>
          <w:rFonts w:ascii="仿宋_GB2312" w:eastAsia="仿宋_GB2312" w:hint="eastAsia"/>
          <w:b/>
          <w:bCs/>
          <w:sz w:val="32"/>
          <w:szCs w:val="32"/>
          <w:lang w:val="zh-CN"/>
        </w:rPr>
        <w:t>一是</w:t>
      </w:r>
      <w:r>
        <w:rPr>
          <w:rFonts w:ascii="仿宋_GB2312" w:eastAsia="仿宋_GB2312" w:hint="eastAsia"/>
          <w:sz w:val="32"/>
          <w:szCs w:val="32"/>
          <w:lang w:val="zh-CN"/>
        </w:rPr>
        <w:t xml:space="preserve">对列入《指导目录》的行政处罚、行政强制事项，按照完整、清晰、准确的原则，列出设定该事项的法律、行政法规和部门规章的具体条款内容。 </w:t>
      </w:r>
      <w:r>
        <w:rPr>
          <w:rFonts w:ascii="仿宋_GB2312" w:eastAsia="仿宋_GB2312" w:hint="eastAsia"/>
          <w:b/>
          <w:bCs/>
          <w:sz w:val="32"/>
          <w:szCs w:val="32"/>
          <w:lang w:val="zh-CN"/>
        </w:rPr>
        <w:t>二是</w:t>
      </w:r>
      <w:r>
        <w:rPr>
          <w:rFonts w:ascii="仿宋_GB2312" w:eastAsia="仿宋_GB2312" w:hint="eastAsia"/>
          <w:sz w:val="32"/>
          <w:szCs w:val="32"/>
          <w:lang w:val="zh-CN"/>
        </w:rPr>
        <w:t>被援引的法律、行政法规和部门规章条款已作修订的，只列入修订后对应的条款。</w:t>
      </w:r>
    </w:p>
    <w:p>
      <w:pPr>
        <w:autoSpaceDE w:val="0"/>
        <w:autoSpaceDN w:val="0"/>
        <w:adjustRightInd w:val="0"/>
        <w:spacing w:line="600" w:lineRule="exact"/>
        <w:ind w:left="0" w:firstLineChars="200" w:firstLine="640"/>
        <w:rPr>
          <w:rFonts w:ascii="仿宋_GB2312" w:eastAsia="仿宋_GB2312" w:hint="eastAsia"/>
          <w:bCs/>
          <w:sz w:val="32"/>
          <w:szCs w:val="32"/>
          <w:lang w:val="zh-CN" w:eastAsia="zh-CN"/>
        </w:rPr>
      </w:pPr>
      <w:r>
        <w:rPr>
          <w:rFonts w:ascii="黑体" w:eastAsia="黑体"/>
          <w:bCs/>
          <w:sz w:val="32"/>
          <w:szCs w:val="32"/>
          <w:lang w:val="zh-CN" w:eastAsia="zh-CN" w:bidi="ar-SA"/>
        </w:rPr>
        <w:t>六、关于</w:t>
      </w:r>
      <w:r>
        <w:rPr>
          <w:rFonts w:ascii="黑体" w:eastAsia="黑体" w:hint="eastAsia"/>
          <w:bCs/>
          <w:sz w:val="32"/>
          <w:szCs w:val="32"/>
          <w:lang w:val="zh-CN" w:eastAsia="zh-CN"/>
        </w:rPr>
        <w:t>实施主体。</w:t>
      </w:r>
      <w:r>
        <w:rPr>
          <w:rFonts w:ascii="仿宋_GB2312" w:eastAsia="仿宋_GB2312" w:hint="eastAsia"/>
          <w:b/>
          <w:bCs/>
          <w:sz w:val="32"/>
          <w:szCs w:val="32"/>
          <w:lang w:val="zh-CN" w:eastAsia="zh-CN"/>
        </w:rPr>
        <w:t>一是</w:t>
      </w:r>
      <w:r>
        <w:rPr>
          <w:rFonts w:ascii="仿宋_GB2312" w:eastAsia="仿宋_GB2312" w:hint="eastAsia"/>
          <w:bCs/>
          <w:sz w:val="32"/>
          <w:szCs w:val="32"/>
          <w:lang w:val="zh-CN" w:eastAsia="zh-CN"/>
        </w:rPr>
        <w:t>根据《全国人民代表大会常务委员会关于国务院机构改革涉及法律规定的行政机关职责调整问题的决定》和《国务院关于国务院机构改革涉及行政法规规定的行政机关职责调整问题的决定》，以及</w:t>
      </w:r>
      <w:r>
        <w:rPr>
          <w:rFonts w:ascii="仿宋_GB2312" w:eastAsia="仿宋_GB2312" w:hint="eastAsia"/>
          <w:sz w:val="32"/>
          <w:szCs w:val="32"/>
        </w:rPr>
        <w:t>2018年9月30日省人大常委会第六次会议通过的《福建省人民代表大会常务委员会关于省人民政府机构改革涉及地方性法规规定的行政机关职责调整问题的决定》</w:t>
      </w:r>
      <w:r>
        <w:rPr>
          <w:rFonts w:ascii="仿宋_GB2312" w:eastAsia="仿宋_GB2312" w:hint="eastAsia"/>
          <w:bCs/>
          <w:sz w:val="32"/>
          <w:szCs w:val="32"/>
          <w:lang w:val="zh-CN" w:eastAsia="zh-CN"/>
        </w:rPr>
        <w:t>的相关规定</w:t>
      </w:r>
      <w:r>
        <w:rPr>
          <w:rFonts w:ascii="仿宋_GB2312" w:eastAsia="仿宋_GB2312" w:hint="eastAsia"/>
          <w:sz w:val="32"/>
          <w:szCs w:val="32"/>
        </w:rPr>
        <w:t>，将</w:t>
      </w:r>
      <w:r>
        <w:rPr>
          <w:rFonts w:ascii="仿宋_GB2312" w:eastAsia="仿宋_GB2312" w:cs="宋体" w:hint="eastAsia"/>
          <w:bCs/>
          <w:sz w:val="32"/>
          <w:szCs w:val="32"/>
          <w:lang w:val="zh-CN" w:eastAsia="zh-CN" w:bidi="ar-SA"/>
        </w:rPr>
        <w:t>《福建省牲畜屠宰管理条例》含有6项行政执法事项的</w:t>
      </w:r>
      <w:r>
        <w:rPr>
          <w:rFonts w:ascii="仿宋_GB2312" w:eastAsia="仿宋_GB2312" w:hint="eastAsia"/>
          <w:sz w:val="32"/>
          <w:szCs w:val="32"/>
        </w:rPr>
        <w:t>实施主体由</w:t>
      </w:r>
      <w:r>
        <w:rPr>
          <w:rFonts w:ascii="仿宋_GB2312" w:eastAsia="仿宋_GB2312" w:cs="宋体" w:hint="eastAsia"/>
          <w:bCs/>
          <w:sz w:val="32"/>
          <w:szCs w:val="32"/>
          <w:lang w:val="zh-CN" w:eastAsia="zh-CN" w:bidi="ar-SA"/>
        </w:rPr>
        <w:t>“商品流通行政主管部门”变更为“农业农村主管部门”。</w:t>
      </w:r>
      <w:r>
        <w:rPr>
          <w:rFonts w:ascii="仿宋_GB2312" w:eastAsia="仿宋_GB2312" w:hint="eastAsia"/>
          <w:b/>
          <w:bCs/>
          <w:sz w:val="32"/>
          <w:szCs w:val="32"/>
          <w:lang w:val="zh-CN" w:eastAsia="zh-CN"/>
        </w:rPr>
        <w:t>二是</w:t>
      </w:r>
      <w:r>
        <w:rPr>
          <w:rFonts w:ascii="仿宋_GB2312" w:eastAsia="仿宋_GB2312" w:hint="eastAsia"/>
          <w:bCs/>
          <w:sz w:val="32"/>
          <w:szCs w:val="32"/>
          <w:lang w:val="zh-CN" w:eastAsia="zh-CN"/>
        </w:rPr>
        <w:t>法律行政法规规定的实施主体所称“县级以上××主管部门”“××主管部门”，指的是县级以上依据“三定”规定承担该项行政处罚和行政强制职责的部门。</w:t>
      </w:r>
      <w:r>
        <w:rPr>
          <w:rFonts w:ascii="仿宋_GB2312" w:eastAsia="仿宋_GB2312" w:hint="eastAsia"/>
          <w:b/>
          <w:bCs/>
          <w:sz w:val="32"/>
          <w:szCs w:val="32"/>
          <w:lang w:val="zh-CN" w:eastAsia="zh-CN"/>
        </w:rPr>
        <w:t>三是</w:t>
      </w:r>
      <w:r>
        <w:rPr>
          <w:rFonts w:ascii="仿宋_GB2312" w:eastAsia="仿宋_GB2312" w:hint="eastAsia"/>
          <w:bCs/>
          <w:sz w:val="32"/>
          <w:szCs w:val="32"/>
          <w:lang w:val="zh-CN" w:eastAsia="zh-CN"/>
        </w:rPr>
        <w:t>根据《深化党和国家机构改革方案》关于推进农业综合行政执法的改革精神，对列入《指导目录》行政执法事项的实施主体统一规范为“农业农村主管部门”，如《福建省食品安全信息追溯管理办法》中“相关行政主管部门”。各地需要对部分事项的实施主体作出调整的，可结合部门“三定”规定作出具体规定，依法按程序报同级党委和政府决定。</w:t>
      </w:r>
    </w:p>
    <w:p>
      <w:pPr>
        <w:autoSpaceDE w:val="0"/>
        <w:autoSpaceDN w:val="0"/>
        <w:adjustRightInd w:val="0"/>
        <w:spacing w:line="600" w:lineRule="exact"/>
        <w:ind w:left="0" w:firstLineChars="200" w:firstLine="640"/>
        <w:rPr>
          <w:rFonts w:ascii="仿宋_GB2312" w:eastAsia="仿宋_GB2312" w:cs="宋体"/>
          <w:bCs/>
          <w:sz w:val="32"/>
          <w:szCs w:val="32"/>
          <w:lang w:val="zh-CN"/>
        </w:rPr>
      </w:pPr>
      <w:r>
        <w:rPr>
          <w:rFonts w:ascii="黑体" w:eastAsia="黑体"/>
          <w:bCs/>
          <w:sz w:val="32"/>
          <w:szCs w:val="32"/>
          <w:lang w:val="zh-CN"/>
        </w:rPr>
        <w:t>七、关于</w:t>
      </w:r>
      <w:r>
        <w:rPr>
          <w:rFonts w:ascii="黑体" w:eastAsia="黑体" w:hint="eastAsia"/>
          <w:bCs/>
          <w:sz w:val="32"/>
          <w:szCs w:val="32"/>
          <w:lang w:val="zh-CN"/>
        </w:rPr>
        <w:t>第一责任层级建议。</w:t>
      </w:r>
      <w:r>
        <w:rPr>
          <w:rFonts w:ascii="仿宋_GB2312" w:eastAsia="仿宋_GB2312" w:hint="eastAsia"/>
          <w:b/>
          <w:bCs/>
          <w:sz w:val="32"/>
          <w:szCs w:val="32"/>
          <w:lang w:val="zh-CN" w:eastAsia="zh-CN"/>
        </w:rPr>
        <w:t>一是</w:t>
      </w:r>
      <w:r>
        <w:rPr>
          <w:rFonts w:ascii="仿宋_GB2312" w:eastAsia="仿宋_GB2312" w:hint="eastAsia"/>
          <w:bCs/>
          <w:sz w:val="32"/>
          <w:szCs w:val="32"/>
          <w:lang w:val="zh-CN" w:eastAsia="zh-CN"/>
        </w:rPr>
        <w:t>明确“第一责任层级建议”，主要是按照有权必有责、有责要担当、失责必追究的原则，把查处违法行为的第一管辖和第一责任压实，不排斥上级主管部门对违法行为的管辖权和处罚权。必要时，上级主管部门可以按程序对重大案件和跨区域案件实施直接管辖，或进行监督指导和组织协调。</w:t>
      </w:r>
      <w:r>
        <w:rPr>
          <w:rFonts w:ascii="仿宋_GB2312" w:eastAsia="仿宋_GB2312" w:hint="eastAsia"/>
          <w:b/>
          <w:bCs/>
          <w:sz w:val="32"/>
          <w:szCs w:val="32"/>
          <w:lang w:val="zh-CN" w:eastAsia="zh-CN"/>
        </w:rPr>
        <w:t>二是</w:t>
      </w:r>
      <w:r>
        <w:rPr>
          <w:rFonts w:ascii="仿宋_GB2312" w:eastAsia="仿宋_GB2312" w:hint="eastAsia"/>
          <w:bCs/>
          <w:sz w:val="32"/>
          <w:szCs w:val="32"/>
          <w:lang w:val="zh-CN" w:eastAsia="zh-CN"/>
        </w:rPr>
        <w:t>根据党的十九届三中全会关于“减少执法层级，推动执法力量下沉”的精神和落实属地化监管责任的要求，对法定实施主体为“县级以上××主管部门”或“××主管部门”的，原则上明确“第一责任层级建议”为“设区的市或县级”</w:t>
      </w:r>
      <w:r>
        <w:rPr>
          <w:rFonts w:ascii="仿宋_GB2312" w:eastAsia="仿宋_GB2312"/>
          <w:bCs/>
          <w:sz w:val="32"/>
          <w:szCs w:val="32"/>
          <w:lang w:val="zh-CN" w:eastAsia="zh-CN"/>
        </w:rPr>
        <w:t>。</w:t>
      </w:r>
      <w:r>
        <w:rPr>
          <w:rFonts w:ascii="仿宋_GB2312" w:eastAsia="仿宋_GB2312" w:cs="宋体" w:hint="eastAsia"/>
          <w:bCs/>
          <w:sz w:val="32"/>
          <w:szCs w:val="32"/>
          <w:lang w:val="zh-CN"/>
        </w:rPr>
        <w:t>根据我省实际，</w:t>
      </w:r>
      <w:r>
        <w:rPr>
          <w:rFonts w:ascii="仿宋_GB2312" w:eastAsia="仿宋_GB2312" w:hint="eastAsia"/>
          <w:bCs/>
          <w:sz w:val="32"/>
          <w:szCs w:val="32"/>
          <w:lang w:val="zh-CN" w:eastAsia="zh-CN"/>
        </w:rPr>
        <w:t>“设区的市或县级”</w:t>
      </w:r>
      <w:r>
        <w:rPr>
          <w:rFonts w:ascii="仿宋_GB2312" w:eastAsia="仿宋_GB2312" w:cs="宋体" w:hint="eastAsia"/>
          <w:bCs/>
          <w:sz w:val="32"/>
          <w:szCs w:val="32"/>
          <w:lang w:val="zh-CN"/>
        </w:rPr>
        <w:t>除区级执法机构上收的为“设区的市”外，其它设置农业综合执法机构的县（市、区）为“县级”。</w:t>
      </w:r>
      <w:r>
        <w:rPr>
          <w:rFonts w:ascii="仿宋_GB2312" w:eastAsia="仿宋_GB2312" w:hint="eastAsia"/>
          <w:b/>
          <w:bCs/>
          <w:sz w:val="32"/>
          <w:szCs w:val="32"/>
          <w:lang w:val="zh-CN" w:eastAsia="zh-CN"/>
        </w:rPr>
        <w:t>三是</w:t>
      </w:r>
      <w:r>
        <w:rPr>
          <w:rFonts w:ascii="仿宋_GB2312" w:eastAsia="仿宋_GB2312" w:hint="eastAsia"/>
          <w:bCs/>
          <w:sz w:val="32"/>
          <w:szCs w:val="32"/>
          <w:lang w:val="zh-CN"/>
        </w:rPr>
        <w:t>根据</w:t>
      </w:r>
      <w:r>
        <w:rPr>
          <w:rFonts w:ascii="仿宋_GB2312" w:eastAsia="仿宋_GB2312"/>
          <w:bCs/>
          <w:sz w:val="32"/>
          <w:szCs w:val="32"/>
          <w:lang w:val="zh-CN" w:eastAsia="zh-CN"/>
        </w:rPr>
        <w:t>农业农村部《指导目录》</w:t>
      </w:r>
      <w:r>
        <w:rPr>
          <w:rFonts w:ascii="仿宋_GB2312" w:eastAsia="仿宋_GB2312"/>
          <w:bCs/>
          <w:sz w:val="32"/>
          <w:szCs w:val="32"/>
          <w:lang w:val="zh-CN"/>
        </w:rPr>
        <w:t>编制的原则，</w:t>
      </w:r>
      <w:r>
        <w:rPr>
          <w:rFonts w:ascii="仿宋_GB2312" w:eastAsia="仿宋_GB2312" w:cs="宋体" w:hint="eastAsia"/>
          <w:bCs/>
          <w:sz w:val="32"/>
          <w:szCs w:val="32"/>
          <w:lang w:val="zh-CN" w:eastAsia="zh-CN" w:bidi="ar-SA"/>
        </w:rPr>
        <w:t>法定实施主体为“省级××主管部门”和“县级人民政府××主管部门”的，原则上明确“第一责任层级建议”为“省级”和“县级”，但</w:t>
      </w:r>
      <w:r>
        <w:rPr>
          <w:rFonts w:ascii="仿宋_GB2312" w:eastAsia="仿宋_GB2312" w:hint="eastAsia"/>
          <w:bCs/>
          <w:sz w:val="32"/>
          <w:szCs w:val="32"/>
          <w:lang w:val="zh-CN" w:eastAsia="zh-CN"/>
        </w:rPr>
        <w:t>因我省改革后设区的市和市辖区原则上只设一个执法层级，因此将</w:t>
      </w:r>
      <w:r>
        <w:rPr>
          <w:rFonts w:ascii="仿宋_GB2312" w:eastAsia="仿宋_GB2312"/>
          <w:bCs/>
          <w:sz w:val="32"/>
          <w:szCs w:val="32"/>
          <w:lang w:val="zh-CN" w:eastAsia="zh-CN"/>
        </w:rPr>
        <w:t>此类</w:t>
      </w:r>
      <w:r>
        <w:rPr>
          <w:rFonts w:ascii="仿宋_GB2312" w:eastAsia="仿宋_GB2312" w:hint="eastAsia"/>
          <w:bCs/>
          <w:sz w:val="32"/>
          <w:szCs w:val="32"/>
          <w:lang w:val="zh-CN" w:eastAsia="zh-CN"/>
        </w:rPr>
        <w:t>执法事项“第一责任层级建议”为“县级”的统一</w:t>
      </w:r>
      <w:r>
        <w:rPr>
          <w:rFonts w:ascii="仿宋_GB2312" w:eastAsia="仿宋_GB2312"/>
          <w:bCs/>
          <w:sz w:val="32"/>
          <w:szCs w:val="32"/>
          <w:lang w:val="zh-CN" w:eastAsia="zh-CN"/>
        </w:rPr>
        <w:t>更改</w:t>
      </w:r>
      <w:r>
        <w:rPr>
          <w:rFonts w:ascii="仿宋_GB2312" w:eastAsia="仿宋_GB2312" w:hint="eastAsia"/>
          <w:bCs/>
          <w:sz w:val="32"/>
          <w:szCs w:val="32"/>
          <w:lang w:val="zh-CN" w:eastAsia="zh-CN"/>
        </w:rPr>
        <w:t>确定为</w:t>
      </w:r>
      <w:r>
        <w:rPr>
          <w:rFonts w:ascii="仿宋_GB2312" w:eastAsia="仿宋_GB2312" w:hint="eastAsia"/>
          <w:bCs/>
          <w:sz w:val="32"/>
          <w:szCs w:val="32"/>
          <w:lang w:val="zh-CN"/>
        </w:rPr>
        <w:t>“</w:t>
      </w:r>
      <w:r>
        <w:rPr>
          <w:rFonts w:ascii="仿宋_GB2312" w:eastAsia="仿宋_GB2312" w:cs="宋体" w:hint="eastAsia"/>
          <w:bCs/>
          <w:sz w:val="32"/>
          <w:szCs w:val="32"/>
          <w:lang w:val="zh-CN" w:bidi="ar-SA"/>
        </w:rPr>
        <w:t>县级</w:t>
      </w:r>
      <w:r>
        <w:rPr>
          <w:rFonts w:ascii="仿宋_GB2312" w:eastAsia="仿宋_GB2312" w:hint="eastAsia"/>
          <w:bCs/>
          <w:sz w:val="32"/>
          <w:szCs w:val="32"/>
          <w:lang w:val="zh-CN"/>
        </w:rPr>
        <w:t>（区级执法机构上收的为设区的市）</w:t>
      </w:r>
      <w:r>
        <w:rPr>
          <w:rFonts w:ascii="仿宋_GB2312" w:eastAsia="仿宋_GB2312" w:cs="宋体" w:hint="eastAsia"/>
          <w:bCs/>
          <w:sz w:val="32"/>
          <w:szCs w:val="32"/>
          <w:lang w:val="zh-CN" w:bidi="ar-SA"/>
        </w:rPr>
        <w:t>”。</w:t>
      </w:r>
      <w:r>
        <w:rPr>
          <w:rFonts w:ascii="仿宋_GB2312" w:eastAsia="仿宋_GB2312"/>
          <w:b/>
          <w:bCs/>
          <w:sz w:val="32"/>
          <w:szCs w:val="32"/>
          <w:lang w:val="zh-CN" w:eastAsia="zh-CN"/>
        </w:rPr>
        <w:t>四</w:t>
      </w:r>
      <w:r>
        <w:rPr>
          <w:rFonts w:ascii="仿宋_GB2312" w:eastAsia="仿宋_GB2312" w:hint="eastAsia"/>
          <w:b/>
          <w:bCs/>
          <w:sz w:val="32"/>
          <w:szCs w:val="32"/>
          <w:lang w:val="zh-CN" w:eastAsia="zh-CN"/>
        </w:rPr>
        <w:t>是</w:t>
      </w:r>
      <w:r>
        <w:rPr>
          <w:rFonts w:ascii="仿宋_GB2312" w:eastAsia="仿宋_GB2312" w:hint="eastAsia"/>
          <w:bCs/>
          <w:sz w:val="32"/>
          <w:szCs w:val="32"/>
          <w:lang w:val="zh-CN" w:eastAsia="zh-CN"/>
        </w:rPr>
        <w:t>对于吊销行政许可等特定种类处罚，原则上由地方明确的第一管辖和第一责任主体进行调查取证后提出处罚建议，按照行政许可法规定转发证机关或者其上级行政机关落实。</w:t>
      </w:r>
      <w:r>
        <w:rPr>
          <w:rFonts w:ascii="仿宋_GB2312" w:eastAsia="仿宋_GB2312"/>
          <w:b/>
          <w:bCs/>
          <w:sz w:val="32"/>
          <w:szCs w:val="32"/>
          <w:lang w:val="zh-CN" w:eastAsia="zh-CN"/>
        </w:rPr>
        <w:t>五</w:t>
      </w:r>
      <w:r>
        <w:rPr>
          <w:rFonts w:ascii="仿宋_GB2312" w:eastAsia="仿宋_GB2312" w:hint="eastAsia"/>
          <w:b/>
          <w:bCs/>
          <w:sz w:val="32"/>
          <w:szCs w:val="32"/>
          <w:lang w:val="zh-CN" w:eastAsia="zh-CN"/>
        </w:rPr>
        <w:t>是</w:t>
      </w:r>
      <w:r>
        <w:rPr>
          <w:rFonts w:ascii="仿宋_GB2312" w:eastAsia="仿宋_GB2312" w:cs="宋体" w:hint="eastAsia"/>
          <w:bCs/>
          <w:sz w:val="32"/>
          <w:szCs w:val="32"/>
          <w:lang w:val="zh-CN" w:eastAsia="zh-CN" w:bidi="ar-SA"/>
        </w:rPr>
        <w:t>按照管辖范围，将农业农村部《农业综合行政执法事项指导目录（2020年版）》中“第一层级建议”中为“国务院主管部门或省级”的变更为“省级”。</w:t>
      </w:r>
    </w:p>
    <w:sectPr>
      <w:footerReference w:type="default" r:id="rId2"/>
      <w:footerReference w:type="even" r:id="rId3"/>
      <w:pgSz w:w="11907" w:h="16840"/>
      <w:pgMar w:top="1985" w:right="1361" w:bottom="1418" w:left="1531" w:header="851" w:footer="1134" w:gutter="0"/>
      <w:pgNumType w:fmt="numberInDash" w:start="83"/>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080E0000" w:usb2="00000000" w:usb3="00000000" w:csb0="00040001" w:csb1="00000000"/>
  </w:font>
  <w:font w:name="黑体">
    <w:panose1 w:val="02010600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小标宋简体">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rPr>
        <w:rFonts w:ascii="宋体" w:hint="eastAsia"/>
        <w:sz w:val="28"/>
      </w:rPr>
    </w:pPr>
    <w:r>
      <w:rPr>
        <w:rStyle w:val="16"/>
        <w:rFonts w:ascii="宋体" w:hint="eastAsia"/>
        <w:sz w:val="28"/>
      </w:rPr>
      <w:fldChar w:fldCharType="begin"/>
    </w:r>
    <w:r>
      <w:rPr>
        <w:rStyle w:val="16"/>
        <w:rFonts w:ascii="宋体" w:hint="eastAsia"/>
        <w:sz w:val="28"/>
      </w:rPr>
      <w:instrText>Page</w:instrText>
    </w:r>
    <w:r>
      <w:rPr>
        <w:rStyle w:val="16"/>
        <w:rFonts w:ascii="宋体" w:hint="eastAsia"/>
        <w:sz w:val="28"/>
      </w:rPr>
      <w:fldChar w:fldCharType="separate"/>
    </w:r>
    <w:r>
      <w:rPr>
        <w:rStyle w:val="16"/>
        <w:rFonts w:ascii="宋体" w:hint="eastAsia"/>
        <w:sz w:val="28"/>
      </w:rPr>
      <w:t>- 82 -</w:t>
    </w:r>
    <w:r>
      <w:rPr>
        <w:rStyle w:val="16"/>
        <w:rFonts w:ascii="宋体" w:hint="eastAsia"/>
        <w:sz w:val="28"/>
      </w:rPr>
      <w:fldChar w:fldCharType="end"/>
    </w:r>
  </w:p>
  <w:p>
    <w:pPr>
      <w:pStyle w:val="15"/>
      <w:tabs>
        <w:tab w:val="center" w:pos="4153"/>
        <w:tab w:val="right" w:pos="8307"/>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6"/>
      </w:rPr>
      <w:fldChar w:fldCharType="begin"/>
    </w:r>
    <w:r>
      <w:rPr>
        <w:rStyle w:val="16"/>
      </w:rPr>
      <w:instrText>Page</w:instrText>
    </w:r>
    <w:r>
      <w:rPr>
        <w:rStyle w:val="16"/>
      </w:rPr>
      <w:fldChar w:fldCharType="separate"/>
    </w:r>
    <w:r>
      <w:rPr>
        <w:rStyle w:val="16"/>
      </w:rPr>
      <w:t>- 82 -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- 82 -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- 83 -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- 83 -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- 78 -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- 78 -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- 81 -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- 81 -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- 82 -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- 82 -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- 1 -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0</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- 91 -</w:t>
    </w:r>
    <w:r>
      <w:rPr>
        <w:rStyle w:val="16"/>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- 1 -</w:t>
    </w:r>
    <w:r>
      <w:rPr>
        <w:rStyle w:val="16"/>
      </w:rPr>
      <w:fldChar w:fldCharType="end"/>
    </w:r>
  </w:p>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16"/>
      </w:rPr>
      <w:fldChar w:fldCharType="begin"/>
    </w:r>
    <w:r>
      <w:rPr>
        <w:rStyle w:val="16"/>
      </w:rPr>
      <w:instrText>Page</w:instrText>
    </w:r>
    <w:r>
      <w:rPr>
        <w:rStyle w:val="16"/>
      </w:rPr>
      <w:fldChar w:fldCharType="separate"/>
    </w:r>
    <w:r>
      <w:rPr>
        <w:rStyle w:val="16"/>
      </w:rPr>
      <w:t>1</w:t>
    </w:r>
    <w:r>
      <w:rPr>
        <w:rStyle w:val="16"/>
      </w:rPr>
      <w:fldChar w:fldCharType="end"/>
    </w:r>
  </w:p>
  <w:p>
    <w:pPr>
      <w:pStyle w:val="15"/>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7"/>
      </w:tabs>
      <w:snapToGrid w:val="0"/>
      <w:jc w:val="left"/>
    </w:pPr>
    <w:rPr>
      <w:sz w:val="18"/>
    </w:rPr>
  </w:style>
  <w:style w:type="character" w:styleId="16">
    <w:name w:val="page number"/>
    <w:basedOn w:val="10"/>
  </w:style>
  <w:style w:type="paragraph" w:styleId="17">
    <w:name w:val="header"/>
    <w:basedOn w:val="0"/>
    <w:pPr>
      <w:pBdr>
        <w:bottom w:val="single" w:sz="6" w:space="1" w:color="auto"/>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1508</TotalTime>
  <Application>Yozo_Office</Application>
  <Pages>4</Pages>
  <Words>1931</Words>
  <Characters>1952</Characters>
  <Lines>77</Lines>
  <Paragraphs>10</Paragraphs>
  <CharactersWithSpaces>1957</CharactersWithSpaces>
  <Company>Sky123.Org</Company>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User</cp:lastModifiedBy>
  <cp:revision>1</cp:revision>
  <cp:lastPrinted>2020-12-11T01:18:42Z</cp:lastPrinted>
  <dcterms:created xsi:type="dcterms:W3CDTF">2020-10-14T02:24:34Z</dcterms:created>
  <dcterms:modified xsi:type="dcterms:W3CDTF">2020-12-11T01:21:13Z</dcterms:modified>
</cp:coreProperties>
</file>