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黑体" w:eastAsia="黑体" w:cs="仿宋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仿宋" w:hint="eastAsia"/>
          <w:color w:val="auto"/>
          <w:sz w:val="32"/>
          <w:szCs w:val="32"/>
          <w:lang w:eastAsia="zh-CN"/>
        </w:rPr>
        <w:t>附件</w:t>
      </w:r>
      <w:r>
        <w:rPr>
          <w:rFonts w:ascii="黑体" w:eastAsia="黑体" w:cs="仿宋" w:hint="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黑体" w:eastAsia="黑体" w:hint="eastAsia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福建省水稻品种审定标准（202</w:t>
      </w:r>
      <w:r>
        <w:rPr>
          <w:rFonts w:ascii="方正小标宋简体" w:eastAsia="方正小标宋简体" w:hint="eastAsia"/>
          <w:color w:val="auto"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 w:hint="eastAsia"/>
          <w:color w:val="auto"/>
          <w:sz w:val="44"/>
          <w:szCs w:val="44"/>
        </w:rPr>
        <w:t>年</w:t>
      </w:r>
      <w:r>
        <w:rPr>
          <w:rFonts w:ascii="方正小标宋简体" w:eastAsia="方正小标宋简体" w:hint="eastAsia"/>
          <w:color w:val="auto"/>
          <w:sz w:val="44"/>
          <w:szCs w:val="44"/>
          <w:lang w:eastAsia="zh-CN"/>
        </w:rPr>
        <w:t>修订</w:t>
      </w:r>
      <w:r>
        <w:rPr>
          <w:rFonts w:ascii="方正小标宋简体" w:eastAsia="方正小标宋简体" w:hint="eastAsia"/>
          <w:color w:val="auto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560"/>
        <w:textAlignment w:val="auto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黑体" w:eastAsia="黑体" w:hint="eastAsia"/>
          <w:color w:val="auto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val="en-US" w:eastAsia="zh-CN"/>
        </w:rPr>
        <w:t>1</w:t>
      </w:r>
      <w:r>
        <w:rPr>
          <w:rFonts w:ascii="黑体" w:eastAsia="黑体" w:hint="eastAsia"/>
          <w:color w:val="auto"/>
          <w:sz w:val="32"/>
          <w:szCs w:val="32"/>
          <w:lang w:val="en-US" w:eastAsia="zh-CN"/>
        </w:rPr>
        <w:t>.</w:t>
      </w:r>
      <w:r>
        <w:rPr>
          <w:rFonts w:ascii="黑体" w:eastAsia="黑体" w:hint="eastAsia"/>
          <w:color w:val="auto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1.1抗性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品种稻瘟病综合抗性指数年度≤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5.5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，品种穗瘟损失率最高级≤7级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中稻品种耐热性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7级。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除达到上述要求外，还应对白叶枯病、稻曲病、稻飞虱抗性进行鉴定。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1.2生育期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早稻中熟组品种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早稻迟熟组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，仅在福建南部稻区种植早稻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迟熟组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天;中稻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中熟组品种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5天，中稻迟熟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7天;晚稻中熟组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3天,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晚稻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迟熟组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2天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，晚稻特种稻组、香稻组品种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，机收再生稻组品种头季加上再生季总生育期比对照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5天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当区试对照品种进行更换时，由专业委员会对相应生育期指标作出调整。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1.3结实率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早、晚稻品种年度平均结实率≥70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%，且结实率＜65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%的区试点≤2个；中稻品种年度平均结实率≥75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%，且结实率＜70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%的区试点≤2个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1.4抗倒性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区域试验中小区倒伏试点数≤1/3，生产试验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倒伏点数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≤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20%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1.5一致性和真实性（SSR分子标记检测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申请审定品种应当与已知品种DNA指纹检测差异位点数≥3个；申请审定品种与已知品种DNA指纹检测差异位点数=2个的，需进行田间小区种植鉴定证明有重要农艺性状差异。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黑体" w:eastAsia="黑体" w:cs="宋体" w:hint="eastAsia"/>
          <w:color w:val="auto"/>
          <w:kern w:val="0"/>
          <w:sz w:val="32"/>
          <w:szCs w:val="32"/>
          <w:lang w:bidi="ar-SA"/>
        </w:rPr>
      </w:pPr>
      <w:r>
        <w:rPr>
          <w:rFonts w:ascii="黑体" w:eastAsia="黑体" w:cs="宋体" w:hint="eastAsia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ascii="黑体" w:eastAsia="黑体" w:cs="宋体" w:hint="eastAsia"/>
          <w:color w:val="auto"/>
          <w:kern w:val="0"/>
          <w:sz w:val="32"/>
          <w:szCs w:val="32"/>
          <w:lang w:bidi="ar-SA"/>
        </w:rPr>
        <w:t>分类</w:t>
      </w:r>
      <w:r>
        <w:rPr>
          <w:rFonts w:ascii="黑体" w:eastAsia="黑体" w:cs="宋体" w:hint="eastAsia"/>
          <w:color w:val="auto"/>
          <w:kern w:val="0"/>
          <w:sz w:val="32"/>
          <w:szCs w:val="32"/>
          <w:lang w:eastAsia="zh-CN" w:bidi="ar-SA"/>
        </w:rPr>
        <w:t>品种</w:t>
      </w:r>
      <w:r>
        <w:rPr>
          <w:rFonts w:ascii="黑体" w:eastAsia="黑体" w:cs="宋体" w:hint="eastAsia"/>
          <w:color w:val="auto"/>
          <w:kern w:val="0"/>
          <w:sz w:val="32"/>
          <w:szCs w:val="32"/>
          <w:lang w:bidi="ar-SA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2.1高产品种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年度区域试验产量比对照增产≥4.0%，增产点率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≥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65.0%。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2.2绿色品种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稻瘟病或白叶枯病或稻曲病或飞虱抗性达中抗及以上。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2.3优质品种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品质达到《食用稻品种品质》（NY/T593-20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21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）优质食用稻标准。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2.4绿色优质品种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稻瘟病或白叶枯病或稻曲病或飞虱抗性达中抗及以上，品质达到《食用稻品种品质》（NY/T593-20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21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）优质食用稻标准。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2.5特殊类型品种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2.5.1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bidi="ar-SA"/>
        </w:rPr>
        <w:t>有色稻品种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糙米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种皮为红色、黑色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等，种皮黑色的要求年度矢车菊素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-3-O-葡萄糖苷含量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≥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300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mg/kg；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2.5.2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bidi="ar-SA"/>
        </w:rPr>
        <w:t>糯稻品种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区域试验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两年检测结果直链淀粉含量平均≤2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%，年度检测结果直链淀粉含量≤2.2%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2.5.3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bidi="ar-SA"/>
        </w:rPr>
        <w:t>加工专用稻品种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区域试验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两年检测结果直链淀粉含量平均≥2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6.0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%，年度检测结果直链淀粉含量≥2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5.0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%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2.5.4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bidi="ar-SA"/>
        </w:rPr>
        <w:t>香稻品种</w:t>
      </w: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eastAsia="zh-CN" w:bidi="ar-SA"/>
        </w:rPr>
        <w:t>年度米质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香味评分不低于对照玉针香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2.5.5高抗性淀粉品种：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年度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稻米抗性淀粉含量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bidi="ar-SA"/>
        </w:rPr>
        <w:t>≥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eastAsia="zh-CN" w:bidi="ar-SA"/>
        </w:rPr>
        <w:t>g/100g；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2.5.6机收再生稻品种：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年度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机收再生季产量不低于对照。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>2.6各分类品种审定指标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Chars="200" w:firstLine="640"/>
        <w:textAlignment w:val="auto"/>
        <w:rPr>
          <w:rFonts w:ascii="仿宋" w:eastAsia="仿宋_GB2312" w:cs="宋体" w:hAnsi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lang w:val="en-US" w:eastAsia="zh-CN" w:bidi="ar-SA"/>
        </w:rPr>
        <w:t>具体见附件1-1。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eastAsia="黑体" w:cs="宋体"/>
          <w:color w:val="000000"/>
          <w:kern w:val="0"/>
          <w:sz w:val="32"/>
          <w:szCs w:val="32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br w:type="page"/>
        <w:t>附件1—1</w:t>
      </w:r>
    </w:p>
    <w:p>
      <w:pPr>
        <w:adjustRightInd w:val="0"/>
        <w:snapToGrid w:val="0"/>
        <w:spacing w:line="580" w:lineRule="exact"/>
        <w:rPr>
          <w:rFonts w:ascii="方正小标宋简体" w:eastAsia="方正小标宋简体" w:cs="宋体"/>
          <w:color w:val="000000"/>
          <w:kern w:val="0"/>
          <w:sz w:val="44"/>
          <w:szCs w:val="44"/>
          <w:lang w:bidi="ar-SA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eastAsia="zh-CN" w:bidi="ar-SA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bidi="ar-SA"/>
        </w:rPr>
        <w:t>福建省水稻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eastAsia="zh-CN" w:bidi="ar-SA"/>
        </w:rPr>
        <w:t>分类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bidi="ar-SA"/>
        </w:rPr>
        <w:t>品种审定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eastAsia="zh-CN" w:bidi="ar-SA"/>
        </w:rPr>
        <w:t>指标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eastAsia="zh-CN" w:bidi="ar-SA"/>
        </w:rPr>
      </w:pPr>
    </w:p>
    <w:tbl>
      <w:tblPr>
        <w:jc w:val="center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64"/>
        <w:gridCol w:w="1196"/>
        <w:gridCol w:w="5"/>
        <w:gridCol w:w="1225"/>
        <w:gridCol w:w="1170"/>
        <w:gridCol w:w="1290"/>
        <w:gridCol w:w="2475"/>
      </w:tblGrid>
      <w:tr>
        <w:trPr>
          <w:cantSplit/>
          <w:trHeight w:val="491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类型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产量指标（与对照比较）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稻瘟病</w:t>
            </w: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eastAsia="zh-CN" w:bidi="ar-SA"/>
              </w:rPr>
              <w:t>或白叶枯病或稻曲病或飞虱</w:t>
            </w: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抗性指标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品质指标</w:t>
            </w:r>
          </w:p>
        </w:tc>
      </w:tr>
      <w:tr>
        <w:trPr>
          <w:cantSplit/>
          <w:trHeight w:val="658"/>
        </w:trPr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两年平均    +%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年度+%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年度增产点率%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40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高产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5.0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65.0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感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或中感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一般</w:t>
            </w:r>
          </w:p>
        </w:tc>
      </w:tr>
      <w:tr>
        <w:trPr>
          <w:cantSplit/>
          <w:trHeight w:val="385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绿色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50.0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中抗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及以上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一般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优质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3.0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60.0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感或中感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三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部颁优质二等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部颁优质一等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优质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中抗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及以上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三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部颁优质二等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  <w:t>部颁优质一等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特殊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类型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有色稻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对应上述标准，在抗性、品质同等条件下，红米、黑粘米品种产量指标相应降低一个百分点，黑糯米品种产量指标相应降低两个百分点。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糯稻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对应上述标准，在抗性、品质同等条件下，产量指标相应降低一个百分点。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加工专用稻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按米质达部颁三等优质稻品种产量标准执行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香稻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对应上述标准，在抗性、品质同等条件下，产量指标相应降低一个百分点。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高抗性淀粉稻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按米质达部颁三等优质稻品种产量标准执行</w:t>
            </w:r>
          </w:p>
        </w:tc>
      </w:tr>
      <w:tr>
        <w:trPr>
          <w:cantSplit/>
          <w:trHeight w:val="377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机收再生稻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对应上述标准，其中，产量指标为头季和再生季两季产量之和，米质和抗性取头季稻鉴定结果</w:t>
            </w:r>
          </w:p>
        </w:tc>
      </w:tr>
      <w:tr>
        <w:trPr>
          <w:cantSplit/>
          <w:trHeight w:val="37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备注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当对照产量低于组平均产量时，以组平均产量作为产量对照指标，同时在计算组平均产量时，如试验组中出现离均差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-10%及以上的品种要予以剔除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。品种生产试验产量指标，与区域试验增减产幅度相一致。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rPr>
          <w:rFonts w:ascii="仿宋_GB2312" w:eastAsia="仿宋_GB2312" w:cs="Times New Roman" w:hint="eastAsia"/>
          <w:sz w:val="32"/>
          <w:szCs w:val="32"/>
        </w:rPr>
      </w:pPr>
      <w:bookmarkStart w:id="0" w:name="_GoBack"/>
      <w:bookmarkEnd w:id="0"/>
    </w:p>
    <w:sectPr>
      <w:footerReference w:type="default" r:id="rId2"/>
      <w:footerReference w:type="even" r:id="rId3"/>
      <w:pgSz w:w="11907" w:h="16840"/>
      <w:pgMar w:top="1985" w:right="1361" w:bottom="1418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hint="eastAsia"/>
        <w:sz w:val="28"/>
        <w:szCs w:val="28"/>
      </w:rPr>
    </w:pPr>
    <w:r>
      <w:rPr>
        <w:rStyle w:val="21"/>
        <w:rFonts w:ascii="宋体" w:hint="eastAsia"/>
        <w:sz w:val="28"/>
        <w:szCs w:val="28"/>
      </w:rPr>
      <w:fldChar w:fldCharType="begin"/>
    </w:r>
    <w:r>
      <w:rPr>
        <w:rStyle w:val="21"/>
        <w:rFonts w:ascii="宋体" w:hint="eastAsia"/>
        <w:sz w:val="28"/>
        <w:szCs w:val="28"/>
      </w:rPr>
      <w:instrText>Page</w:instrText>
    </w:r>
    <w:r>
      <w:rPr>
        <w:rStyle w:val="21"/>
        <w:rFonts w:ascii="宋体" w:hint="eastAsia"/>
        <w:sz w:val="28"/>
        <w:szCs w:val="28"/>
      </w:rPr>
      <w:fldChar w:fldCharType="separate"/>
    </w:r>
    <w:r>
      <w:rPr>
        <w:rStyle w:val="21"/>
        <w:rFonts w:ascii="宋体" w:hint="eastAsia"/>
        <w:sz w:val="28"/>
        <w:szCs w:val="28"/>
      </w:rPr>
      <w:t>- 1 -</w:t>
    </w:r>
    <w:r>
      <w:rPr>
        <w:rStyle w:val="21"/>
        <w:rFonts w:ascii="宋体" w:hint="eastAsia"/>
        <w:sz w:val="28"/>
        <w:szCs w:val="28"/>
      </w:rPr>
      <w:fldChar w:fldCharType="end"/>
    </w:r>
  </w:p>
  <w:p>
    <w:pPr>
      <w:pStyle w:val="18"/>
      <w:tabs>
        <w:tab w:val="center" w:pos="4153"/>
        <w:tab w:val="right" w:pos="8307"/>
      </w:tabs>
      <w:ind w:left="0" w:right="360" w:firstLine="360"/>
      <w:rPr>
        <w:rFonts w:ascii="宋体" w:hint="eastAsia"/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- 1 -</w:t>
    </w:r>
    <w:r>
      <w:rPr>
        <w:rStyle w:val="21"/>
      </w:rPr>
      <w:fldChar w:fldCharType="end"/>
    </w:r>
  </w:p>
  <w:p>
    <w:pPr>
      <w:pStyle w:val="18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next w:val="16"/>
    <w:rPr>
      <w:sz w:val="18"/>
      <w:szCs w:val="18"/>
    </w:rPr>
  </w:style>
  <w:style w:type="paragraph" w:styleId="16">
    <w:name w:val="endnote text"/>
    <w:basedOn w:val="0"/>
    <w:pPr>
      <w:snapToGrid w:val="0"/>
      <w:jc w:val="left"/>
    </w:pPr>
  </w:style>
  <w:style w:type="paragraph" w:styleId="17">
    <w:name w:val="index 5"/>
    <w:basedOn w:val="0"/>
    <w:next w:val="0"/>
    <w:pPr>
      <w:widowControl w:val="0"/>
      <w:ind w:left="630" w:firstLine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8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Normal (Web)"/>
    <w:basedOn w:val="0"/>
    <w:next w:val="1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4</Pages>
  <Words>1420</Words>
  <Characters>1617</Characters>
  <Lines>156</Lines>
  <Paragraphs>109</Paragraphs>
  <CharactersWithSpaces>1625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陈双龙</dc:creator>
  <cp:lastModifiedBy>Microsoft</cp:lastModifiedBy>
  <cp:revision>1</cp:revision>
  <cp:lastPrinted>2024-04-11T23:01:00Z</cp:lastPrinted>
  <dcterms:created xsi:type="dcterms:W3CDTF">2021-12-12T16:10:00Z</dcterms:created>
  <dcterms:modified xsi:type="dcterms:W3CDTF">2024-04-17T02:25:58Z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  <property fmtid="{D5CDD505-2E9C-101B-9397-08002B2CF9AE}" pid="3" name="ICV">
    <vt:lpwstr>99DD3B9F721E4AC28C736F12F38FCB94</vt:lpwstr>
  </property>
</Properties>
</file>