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1"/>
          <w:w w:val="94"/>
          <w:kern w:val="0"/>
          <w:sz w:val="44"/>
          <w:szCs w:val="44"/>
          <w:fitText w:val="9680" w:id="-1230077161"/>
        </w:rPr>
        <w:t>福建省</w:t>
      </w:r>
      <w:r>
        <w:rPr>
          <w:rFonts w:hint="eastAsia" w:ascii="方正小标宋简体" w:hAnsi="方正小标宋简体" w:eastAsia="方正小标宋简体" w:cs="方正小标宋简体"/>
          <w:spacing w:val="1"/>
          <w:w w:val="94"/>
          <w:kern w:val="0"/>
          <w:sz w:val="44"/>
          <w:szCs w:val="44"/>
          <w:fitText w:val="9680" w:id="-1230077161"/>
        </w:rPr>
        <w:t>鲜食</w:t>
      </w:r>
      <w:r>
        <w:rPr>
          <w:rFonts w:hint="eastAsia" w:ascii="方正小标宋简体" w:hAnsi="方正小标宋简体" w:eastAsia="方正小标宋简体" w:cs="方正小标宋简体"/>
          <w:spacing w:val="1"/>
          <w:w w:val="94"/>
          <w:kern w:val="0"/>
          <w:sz w:val="44"/>
          <w:szCs w:val="44"/>
          <w:fitText w:val="9680" w:id="-1230077161"/>
        </w:rPr>
        <w:t>甜</w:t>
      </w:r>
      <w:r>
        <w:rPr>
          <w:rFonts w:hint="eastAsia" w:ascii="方正小标宋简体" w:hAnsi="方正小标宋简体" w:eastAsia="方正小标宋简体" w:cs="方正小标宋简体"/>
          <w:spacing w:val="1"/>
          <w:w w:val="94"/>
          <w:kern w:val="0"/>
          <w:sz w:val="44"/>
          <w:szCs w:val="44"/>
          <w:fitText w:val="9680" w:id="-1230077161"/>
        </w:rPr>
        <w:t>、</w:t>
      </w:r>
      <w:r>
        <w:rPr>
          <w:rFonts w:hint="eastAsia" w:ascii="方正小标宋简体" w:hAnsi="方正小标宋简体" w:eastAsia="方正小标宋简体" w:cs="方正小标宋简体"/>
          <w:spacing w:val="1"/>
          <w:w w:val="94"/>
          <w:kern w:val="0"/>
          <w:sz w:val="44"/>
          <w:szCs w:val="44"/>
          <w:fitText w:val="9680" w:id="-1230077161"/>
        </w:rPr>
        <w:t>糯玉米品种审定标准（20</w:t>
      </w:r>
      <w:r>
        <w:rPr>
          <w:rFonts w:hint="eastAsia" w:ascii="方正小标宋简体" w:hAnsi="方正小标宋简体" w:eastAsia="方正小标宋简体" w:cs="方正小标宋简体"/>
          <w:spacing w:val="1"/>
          <w:w w:val="94"/>
          <w:kern w:val="0"/>
          <w:sz w:val="44"/>
          <w:szCs w:val="44"/>
          <w:fitText w:val="9680" w:id="-1230077161"/>
        </w:rPr>
        <w:t>2</w:t>
      </w:r>
      <w:r>
        <w:rPr>
          <w:rFonts w:hint="eastAsia" w:ascii="方正小标宋简体" w:hAnsi="方正小标宋简体" w:eastAsia="方正小标宋简体" w:cs="方正小标宋简体"/>
          <w:spacing w:val="1"/>
          <w:w w:val="94"/>
          <w:kern w:val="0"/>
          <w:sz w:val="44"/>
          <w:szCs w:val="44"/>
          <w:fitText w:val="9680" w:id="-1230077161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pacing w:val="1"/>
          <w:w w:val="94"/>
          <w:kern w:val="0"/>
          <w:sz w:val="44"/>
          <w:szCs w:val="44"/>
          <w:fitText w:val="9680" w:id="-1230077161"/>
        </w:rPr>
        <w:t>年修订</w:t>
      </w:r>
      <w:r>
        <w:rPr>
          <w:rFonts w:hint="eastAsia" w:ascii="方正小标宋简体" w:hAnsi="方正小标宋简体" w:eastAsia="方正小标宋简体" w:cs="方正小标宋简体"/>
          <w:spacing w:val="35"/>
          <w:w w:val="94"/>
          <w:kern w:val="0"/>
          <w:sz w:val="44"/>
          <w:szCs w:val="44"/>
          <w:fitText w:val="9680" w:id="-1230077161"/>
        </w:rPr>
        <w:t>）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jc w:val="center"/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lang w:eastAsia="zh-CN"/>
        </w:rPr>
        <w:t>（征求意见稿）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rPr>
          <w:rFonts w:ascii="黑体" w:eastAsia="黑体" w:cs="宋体"/>
          <w:color w:val="000000"/>
          <w:kern w:val="0"/>
          <w:sz w:val="32"/>
          <w:szCs w:val="32"/>
        </w:rPr>
      </w:pPr>
      <w:r>
        <w:rPr>
          <w:rFonts w:ascii="黑体" w:eastAsia="黑体" w:cs="宋体"/>
          <w:color w:val="000000"/>
          <w:kern w:val="0"/>
          <w:sz w:val="32"/>
          <w:szCs w:val="32"/>
        </w:rPr>
        <w:t>1.</w:t>
      </w:r>
      <w:r>
        <w:rPr>
          <w:rFonts w:hint="eastAsia" w:ascii="黑体" w:eastAsia="黑体" w:cs="宋体"/>
          <w:color w:val="000000"/>
          <w:kern w:val="0"/>
          <w:sz w:val="32"/>
          <w:szCs w:val="32"/>
        </w:rPr>
        <w:t>基本条件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firstLine="642" w:firstLineChars="200"/>
        <w:rPr>
          <w:rFonts w:ascii="仿宋" w:eastAsia="仿宋_GB2312"/>
          <w:color w:val="000000"/>
          <w:sz w:val="32"/>
          <w:szCs w:val="32"/>
        </w:rPr>
      </w:pPr>
      <w:r>
        <w:rPr>
          <w:rFonts w:ascii="仿宋" w:eastAsia="仿宋_GB2312"/>
          <w:b/>
          <w:bCs/>
          <w:color w:val="000000"/>
          <w:sz w:val="32"/>
          <w:szCs w:val="32"/>
        </w:rPr>
        <w:t>1.1</w:t>
      </w:r>
      <w:r>
        <w:rPr>
          <w:rFonts w:hint="eastAsia" w:ascii="仿宋" w:eastAsia="仿宋_GB2312"/>
          <w:b/>
          <w:bCs/>
          <w:color w:val="000000"/>
          <w:sz w:val="32"/>
          <w:szCs w:val="32"/>
        </w:rPr>
        <w:t>品质</w:t>
      </w:r>
      <w:r>
        <w:rPr>
          <w:rFonts w:ascii="仿宋" w:eastAsia="仿宋_GB2312"/>
          <w:color w:val="000000"/>
          <w:sz w:val="32"/>
          <w:szCs w:val="32"/>
        </w:rPr>
        <w:t xml:space="preserve"> 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firstLine="642" w:firstLineChars="200"/>
        <w:rPr>
          <w:rFonts w:ascii="仿宋" w:eastAsia="仿宋_GB2312"/>
          <w:color w:val="000000"/>
          <w:sz w:val="32"/>
          <w:szCs w:val="32"/>
        </w:rPr>
      </w:pPr>
      <w:r>
        <w:rPr>
          <w:rFonts w:hint="eastAsia" w:ascii="仿宋" w:eastAsia="仿宋_GB2312"/>
          <w:b/>
          <w:bCs/>
          <w:color w:val="000000"/>
          <w:sz w:val="32"/>
          <w:szCs w:val="32"/>
        </w:rPr>
        <w:t>1</w:t>
      </w:r>
      <w:r>
        <w:rPr>
          <w:rFonts w:ascii="仿宋" w:eastAsia="仿宋_GB2312"/>
          <w:b/>
          <w:bCs/>
          <w:color w:val="000000"/>
          <w:sz w:val="32"/>
          <w:szCs w:val="32"/>
        </w:rPr>
        <w:t>.1.1品质鉴评：</w:t>
      </w:r>
      <w:r>
        <w:rPr>
          <w:rFonts w:ascii="仿宋" w:eastAsia="仿宋_GB2312"/>
          <w:color w:val="000000"/>
          <w:sz w:val="32"/>
          <w:szCs w:val="32"/>
        </w:rPr>
        <w:t>品质鉴评分（外观品质和蒸煮品质评分之和）</w:t>
      </w:r>
      <w:r>
        <w:rPr>
          <w:rFonts w:hint="eastAsia" w:ascii="仿宋" w:eastAsia="仿宋_GB2312"/>
          <w:color w:val="000000"/>
          <w:sz w:val="32"/>
          <w:szCs w:val="32"/>
        </w:rPr>
        <w:t>≥</w:t>
      </w:r>
      <w:r>
        <w:rPr>
          <w:rFonts w:ascii="仿宋" w:eastAsia="仿宋_GB2312"/>
          <w:color w:val="000000"/>
          <w:sz w:val="32"/>
          <w:szCs w:val="32"/>
        </w:rPr>
        <w:t>85.0分</w:t>
      </w:r>
      <w:r>
        <w:rPr>
          <w:rFonts w:hint="eastAsia" w:ascii="仿宋" w:eastAsia="仿宋_GB2312"/>
          <w:color w:val="000000"/>
          <w:sz w:val="32"/>
          <w:szCs w:val="32"/>
        </w:rPr>
        <w:t>。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firstLine="642" w:firstLineChars="200"/>
        <w:rPr>
          <w:rFonts w:ascii="仿宋" w:eastAsia="仿宋_GB2312"/>
          <w:color w:val="000000"/>
          <w:sz w:val="32"/>
          <w:szCs w:val="32"/>
        </w:rPr>
      </w:pPr>
      <w:r>
        <w:rPr>
          <w:rFonts w:ascii="仿宋" w:eastAsia="仿宋_GB2312"/>
          <w:b/>
          <w:bCs/>
          <w:color w:val="000000"/>
          <w:sz w:val="32"/>
          <w:szCs w:val="32"/>
        </w:rPr>
        <w:t>1.1.2</w:t>
      </w:r>
      <w:r>
        <w:rPr>
          <w:rFonts w:hint="eastAsia" w:ascii="仿宋" w:eastAsia="仿宋_GB2312"/>
          <w:b/>
          <w:bCs/>
          <w:color w:val="000000"/>
          <w:sz w:val="32"/>
          <w:szCs w:val="32"/>
        </w:rPr>
        <w:t>品质</w:t>
      </w:r>
      <w:r>
        <w:rPr>
          <w:rFonts w:ascii="仿宋" w:eastAsia="仿宋_GB2312"/>
          <w:b/>
          <w:bCs/>
          <w:color w:val="000000"/>
          <w:sz w:val="32"/>
          <w:szCs w:val="32"/>
        </w:rPr>
        <w:t>检测</w:t>
      </w:r>
      <w:r>
        <w:rPr>
          <w:rFonts w:hint="eastAsia" w:ascii="仿宋" w:eastAsia="仿宋_GB2312"/>
          <w:b/>
          <w:bCs/>
          <w:color w:val="000000"/>
          <w:sz w:val="32"/>
          <w:szCs w:val="32"/>
        </w:rPr>
        <w:t>：</w:t>
      </w:r>
      <w:r>
        <w:rPr>
          <w:rFonts w:hint="eastAsia" w:ascii="仿宋" w:eastAsia="仿宋_GB2312"/>
          <w:color w:val="000000"/>
          <w:sz w:val="32"/>
          <w:szCs w:val="32"/>
        </w:rPr>
        <w:t>鲜食甜玉米可溶性总糖含量≥10</w:t>
      </w:r>
      <w:r>
        <w:rPr>
          <w:rFonts w:hint="eastAsia" w:ascii="仿宋" w:eastAsia="仿宋_GB2312"/>
          <w:color w:val="000000"/>
          <w:sz w:val="32"/>
          <w:szCs w:val="32"/>
          <w:lang w:val="en-US" w:eastAsia="zh-CN"/>
        </w:rPr>
        <w:t>.0</w:t>
      </w:r>
      <w:r>
        <w:rPr>
          <w:rFonts w:hint="eastAsia" w:ascii="仿宋" w:eastAsia="仿宋_GB2312"/>
          <w:color w:val="000000"/>
          <w:sz w:val="32"/>
          <w:szCs w:val="32"/>
        </w:rPr>
        <w:t>%；鲜食糯玉米</w:t>
      </w:r>
      <w:r>
        <w:rPr>
          <w:rFonts w:ascii="仿宋" w:eastAsia="仿宋_GB2312"/>
          <w:color w:val="000000"/>
          <w:sz w:val="32"/>
          <w:szCs w:val="32"/>
        </w:rPr>
        <w:t>直链淀粉（干基）占粗淀粉总量比率</w:t>
      </w:r>
      <w:r>
        <w:rPr>
          <w:rFonts w:hint="eastAsia" w:ascii="仿宋" w:eastAsia="仿宋_GB2312"/>
          <w:color w:val="000000"/>
          <w:sz w:val="32"/>
          <w:szCs w:val="32"/>
        </w:rPr>
        <w:t>≤</w:t>
      </w:r>
      <w:r>
        <w:rPr>
          <w:rFonts w:ascii="仿宋" w:eastAsia="仿宋_GB2312"/>
          <w:color w:val="000000"/>
          <w:sz w:val="32"/>
          <w:szCs w:val="32"/>
        </w:rPr>
        <w:t xml:space="preserve">3.0% </w:t>
      </w:r>
      <w:r>
        <w:rPr>
          <w:rFonts w:hint="eastAsia" w:ascii="仿宋" w:eastAsia="仿宋_GB2312"/>
          <w:color w:val="000000"/>
          <w:sz w:val="32"/>
          <w:szCs w:val="32"/>
        </w:rPr>
        <w:t>，</w:t>
      </w:r>
      <w:r>
        <w:rPr>
          <w:rFonts w:ascii="仿宋" w:eastAsia="仿宋_GB2312"/>
          <w:color w:val="000000"/>
          <w:sz w:val="32"/>
          <w:szCs w:val="32"/>
        </w:rPr>
        <w:t>甜加糯型</w:t>
      </w:r>
      <w:r>
        <w:rPr>
          <w:rFonts w:hint="eastAsia" w:ascii="仿宋_GB2312" w:eastAsia="仿宋_GB2312"/>
          <w:sz w:val="32"/>
          <w:szCs w:val="32"/>
        </w:rPr>
        <w:t>（同一果穗上同时存在甜和糯两种类型籽粒，属糯玉米中的一种特殊类型）</w:t>
      </w:r>
      <w:r>
        <w:rPr>
          <w:rFonts w:ascii="仿宋" w:eastAsia="仿宋_GB2312"/>
          <w:color w:val="000000"/>
          <w:sz w:val="32"/>
          <w:szCs w:val="32"/>
        </w:rPr>
        <w:t>直链淀粉（干基）占粗淀粉总量比率</w:t>
      </w:r>
      <w:r>
        <w:rPr>
          <w:rFonts w:hint="eastAsia" w:ascii="仿宋" w:eastAsia="仿宋_GB2312"/>
          <w:color w:val="000000"/>
          <w:sz w:val="32"/>
          <w:szCs w:val="32"/>
        </w:rPr>
        <w:t>≤</w:t>
      </w:r>
      <w:r>
        <w:rPr>
          <w:rFonts w:ascii="仿宋" w:eastAsia="仿宋_GB2312"/>
          <w:color w:val="000000"/>
          <w:sz w:val="32"/>
          <w:szCs w:val="32"/>
        </w:rPr>
        <w:t>10.0%。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firstLine="642" w:firstLineChars="200"/>
        <w:rPr>
          <w:rFonts w:ascii="仿宋" w:eastAsia="仿宋_GB2312"/>
          <w:b/>
          <w:bCs/>
          <w:color w:val="000000"/>
          <w:sz w:val="32"/>
          <w:szCs w:val="32"/>
        </w:rPr>
      </w:pPr>
      <w:r>
        <w:rPr>
          <w:rFonts w:ascii="仿宋" w:eastAsia="仿宋_GB2312"/>
          <w:b/>
          <w:bCs/>
          <w:color w:val="000000"/>
          <w:sz w:val="32"/>
          <w:szCs w:val="32"/>
        </w:rPr>
        <w:t>1.2</w:t>
      </w:r>
      <w:r>
        <w:rPr>
          <w:rFonts w:hint="eastAsia" w:ascii="仿宋" w:eastAsia="仿宋_GB2312"/>
          <w:b/>
          <w:bCs/>
          <w:color w:val="000000"/>
          <w:sz w:val="32"/>
          <w:szCs w:val="32"/>
        </w:rPr>
        <w:t>抗逆性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firstLine="642" w:firstLineChars="200"/>
        <w:rPr>
          <w:rFonts w:ascii="仿宋" w:eastAsia="仿宋_GB2312"/>
          <w:color w:val="000000"/>
          <w:sz w:val="32"/>
          <w:szCs w:val="32"/>
        </w:rPr>
      </w:pPr>
      <w:r>
        <w:rPr>
          <w:rFonts w:hint="eastAsia" w:ascii="仿宋" w:eastAsia="仿宋_GB2312"/>
          <w:b/>
          <w:bCs/>
          <w:color w:val="000000"/>
          <w:sz w:val="32"/>
          <w:szCs w:val="32"/>
        </w:rPr>
        <w:t>1.</w:t>
      </w:r>
      <w:r>
        <w:rPr>
          <w:rFonts w:ascii="仿宋" w:eastAsia="仿宋_GB2312"/>
          <w:b/>
          <w:bCs/>
          <w:color w:val="000000"/>
          <w:sz w:val="32"/>
          <w:szCs w:val="32"/>
        </w:rPr>
        <w:t>2.1</w:t>
      </w:r>
      <w:r>
        <w:rPr>
          <w:rFonts w:hint="eastAsia" w:ascii="仿宋" w:eastAsia="仿宋_GB2312"/>
          <w:b/>
          <w:bCs/>
          <w:color w:val="000000"/>
          <w:sz w:val="32"/>
          <w:szCs w:val="32"/>
        </w:rPr>
        <w:t>抗倒性：</w:t>
      </w:r>
      <w:r>
        <w:rPr>
          <w:rFonts w:ascii="仿宋" w:eastAsia="仿宋_GB2312"/>
          <w:color w:val="000000"/>
          <w:sz w:val="32"/>
          <w:szCs w:val="32"/>
        </w:rPr>
        <w:t>每年平均倒伏、倒折率之和</w:t>
      </w:r>
      <w:r>
        <w:rPr>
          <w:rFonts w:hint="eastAsia" w:ascii="仿宋" w:eastAsia="仿宋_GB2312"/>
          <w:color w:val="000000"/>
          <w:sz w:val="32"/>
          <w:szCs w:val="32"/>
        </w:rPr>
        <w:t>≤</w:t>
      </w:r>
      <w:r>
        <w:rPr>
          <w:rFonts w:ascii="仿宋" w:eastAsia="仿宋_GB2312"/>
          <w:color w:val="000000"/>
          <w:sz w:val="32"/>
          <w:szCs w:val="32"/>
        </w:rPr>
        <w:t>10.0%</w:t>
      </w:r>
      <w:r>
        <w:rPr>
          <w:rFonts w:hint="eastAsia" w:ascii="仿宋" w:eastAsia="仿宋_GB2312"/>
          <w:color w:val="000000"/>
          <w:sz w:val="32"/>
          <w:szCs w:val="32"/>
        </w:rPr>
        <w:t>。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firstLine="642" w:firstLineChars="200"/>
        <w:rPr>
          <w:rFonts w:ascii="仿宋" w:eastAsia="仿宋_GB2312"/>
          <w:color w:val="000000"/>
          <w:sz w:val="32"/>
          <w:szCs w:val="32"/>
        </w:rPr>
      </w:pPr>
      <w:r>
        <w:rPr>
          <w:rFonts w:ascii="仿宋" w:eastAsia="仿宋_GB2312"/>
          <w:b/>
          <w:bCs/>
          <w:color w:val="000000"/>
          <w:sz w:val="32"/>
          <w:szCs w:val="32"/>
        </w:rPr>
        <w:t>1.2.</w:t>
      </w:r>
      <w:r>
        <w:rPr>
          <w:rFonts w:hint="eastAsia" w:ascii="仿宋" w:eastAsia="仿宋_GB2312"/>
          <w:b/>
          <w:bCs/>
          <w:color w:val="000000"/>
          <w:sz w:val="32"/>
          <w:szCs w:val="32"/>
        </w:rPr>
        <w:t>2抗病性：</w:t>
      </w:r>
      <w:r>
        <w:rPr>
          <w:rFonts w:ascii="仿宋" w:eastAsia="仿宋_GB2312"/>
          <w:color w:val="000000"/>
          <w:sz w:val="32"/>
          <w:szCs w:val="32"/>
        </w:rPr>
        <w:t>纹枯病、小斑</w:t>
      </w:r>
      <w:r>
        <w:rPr>
          <w:rFonts w:hint="eastAsia" w:ascii="仿宋" w:eastAsia="仿宋_GB2312"/>
          <w:color w:val="000000"/>
          <w:sz w:val="32"/>
          <w:szCs w:val="32"/>
        </w:rPr>
        <w:t>病</w:t>
      </w:r>
      <w:r>
        <w:rPr>
          <w:rFonts w:ascii="仿宋" w:eastAsia="仿宋_GB2312"/>
          <w:color w:val="000000"/>
          <w:sz w:val="32"/>
          <w:szCs w:val="32"/>
        </w:rPr>
        <w:t>、南方锈病</w:t>
      </w:r>
      <w:r>
        <w:rPr>
          <w:rFonts w:hint="eastAsia" w:ascii="仿宋" w:eastAsia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" w:eastAsia="仿宋_GB2312" w:cs="宋体"/>
          <w:color w:val="000000"/>
          <w:sz w:val="32"/>
          <w:szCs w:val="32"/>
        </w:rPr>
        <w:t>大</w:t>
      </w:r>
      <w:r>
        <w:rPr>
          <w:rFonts w:ascii="仿宋" w:eastAsia="仿宋_GB2312" w:cs="宋体"/>
          <w:color w:val="000000"/>
          <w:sz w:val="32"/>
          <w:szCs w:val="32"/>
        </w:rPr>
        <w:t>斑病</w:t>
      </w:r>
      <w:r>
        <w:rPr>
          <w:rFonts w:ascii="仿宋" w:eastAsia="仿宋_GB2312"/>
          <w:color w:val="000000"/>
          <w:sz w:val="32"/>
          <w:szCs w:val="32"/>
        </w:rPr>
        <w:t>田间自然发病未达到高感。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600" w:lineRule="exact"/>
        <w:ind w:firstLine="642" w:firstLineChars="200"/>
        <w:textAlignment w:val="baseline"/>
        <w:rPr>
          <w:rFonts w:ascii="仿宋" w:eastAsia="仿宋_GB2312"/>
          <w:b/>
          <w:bCs/>
          <w:color w:val="000000"/>
          <w:kern w:val="0"/>
          <w:sz w:val="32"/>
          <w:szCs w:val="32"/>
        </w:rPr>
      </w:pPr>
      <w:r>
        <w:rPr>
          <w:rFonts w:ascii="仿宋" w:eastAsia="仿宋_GB2312"/>
          <w:b/>
          <w:bCs/>
          <w:color w:val="000000"/>
          <w:sz w:val="32"/>
          <w:szCs w:val="32"/>
        </w:rPr>
        <w:t>1.3</w:t>
      </w:r>
      <w:r>
        <w:rPr>
          <w:rFonts w:hint="eastAsia" w:ascii="仿宋" w:eastAsia="仿宋_GB2312"/>
          <w:b/>
          <w:bCs/>
          <w:color w:val="000000"/>
          <w:kern w:val="0"/>
          <w:sz w:val="32"/>
          <w:szCs w:val="32"/>
        </w:rPr>
        <w:t>真实性和差异性（SSR分子标记检测）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600" w:lineRule="exact"/>
        <w:ind w:firstLine="640" w:firstLineChars="200"/>
        <w:textAlignment w:val="baseline"/>
        <w:rPr>
          <w:rFonts w:hint="eastAsia" w:ascii="仿宋" w:eastAsia="仿宋_GB2312" w:cs="Times New Roman"/>
          <w:color w:val="000000"/>
          <w:sz w:val="32"/>
          <w:szCs w:val="32"/>
        </w:rPr>
      </w:pPr>
      <w:r>
        <w:rPr>
          <w:rFonts w:hint="eastAsia" w:ascii="仿宋" w:eastAsia="仿宋_GB2312" w:cs="Times New Roman"/>
          <w:color w:val="000000"/>
          <w:sz w:val="32"/>
          <w:szCs w:val="32"/>
        </w:rPr>
        <w:t>同一品种在不同试验年份、不同试验组别、不同试验渠道中DNA指纹检测差异位点数应当＜2个。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firstLine="640" w:firstLineChars="200"/>
      </w:pPr>
      <w:r>
        <w:rPr>
          <w:rFonts w:hint="eastAsia" w:ascii="仿宋" w:eastAsia="仿宋_GB2312" w:cs="Times New Roman"/>
          <w:color w:val="000000"/>
          <w:sz w:val="32"/>
          <w:szCs w:val="32"/>
        </w:rPr>
        <w:t>申请审定品种应当与已知品种DNA指纹检测差异位点数≥4个；申请审定品种与已知品种DNA指纹检测差异位点数=3个的，需进行田间小区种植鉴定证明有重要农艺性状差异。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rPr>
          <w:rFonts w:asci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eastAsia="黑体" w:cs="宋体"/>
          <w:color w:val="000000"/>
          <w:kern w:val="0"/>
          <w:sz w:val="32"/>
          <w:szCs w:val="32"/>
          <w:lang w:val="en-US" w:eastAsia="zh-CN"/>
        </w:rPr>
        <w:t>2.</w:t>
      </w:r>
      <w:r>
        <w:rPr>
          <w:rFonts w:hint="eastAsia" w:ascii="黑体" w:eastAsia="黑体" w:cs="宋体"/>
          <w:color w:val="000000"/>
          <w:kern w:val="0"/>
          <w:sz w:val="32"/>
          <w:szCs w:val="32"/>
        </w:rPr>
        <w:t>分类</w:t>
      </w:r>
      <w:r>
        <w:rPr>
          <w:rFonts w:ascii="黑体" w:eastAsia="黑体" w:cs="宋体"/>
          <w:color w:val="000000"/>
          <w:kern w:val="0"/>
          <w:sz w:val="32"/>
          <w:szCs w:val="32"/>
        </w:rPr>
        <w:t>品种</w:t>
      </w:r>
      <w:r>
        <w:rPr>
          <w:rFonts w:hint="eastAsia" w:ascii="黑体" w:eastAsia="黑体" w:cs="宋体"/>
          <w:color w:val="000000"/>
          <w:kern w:val="0"/>
          <w:sz w:val="32"/>
          <w:szCs w:val="32"/>
        </w:rPr>
        <w:t>条件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firstLine="642" w:firstLineChars="200"/>
        <w:rPr>
          <w:rFonts w:ascii="仿宋" w:eastAsia="仿宋_GB2312"/>
          <w:b/>
          <w:bCs/>
          <w:color w:val="000000"/>
          <w:sz w:val="32"/>
          <w:szCs w:val="32"/>
        </w:rPr>
      </w:pPr>
      <w:r>
        <w:rPr>
          <w:rFonts w:ascii="仿宋" w:eastAsia="仿宋_GB2312"/>
          <w:b/>
          <w:bCs/>
          <w:color w:val="000000"/>
          <w:sz w:val="32"/>
          <w:szCs w:val="32"/>
        </w:rPr>
        <w:t>2.1高产品种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firstLine="640" w:firstLineChars="200"/>
        <w:rPr>
          <w:rFonts w:ascii="仿宋" w:eastAsia="仿宋_GB2312"/>
          <w:color w:val="000000"/>
          <w:sz w:val="32"/>
          <w:szCs w:val="32"/>
        </w:rPr>
      </w:pPr>
      <w:r>
        <w:rPr>
          <w:rFonts w:hint="eastAsia" w:ascii="仿宋" w:eastAsia="仿宋_GB2312"/>
          <w:color w:val="000000"/>
          <w:sz w:val="32"/>
          <w:szCs w:val="32"/>
        </w:rPr>
        <w:t>年</w:t>
      </w:r>
      <w:r>
        <w:rPr>
          <w:rFonts w:ascii="仿宋" w:eastAsia="仿宋_GB2312"/>
          <w:color w:val="000000"/>
          <w:sz w:val="32"/>
          <w:szCs w:val="32"/>
        </w:rPr>
        <w:t>度</w:t>
      </w:r>
      <w:r>
        <w:rPr>
          <w:rFonts w:hint="eastAsia" w:ascii="仿宋" w:eastAsia="仿宋_GB2312"/>
          <w:color w:val="000000"/>
          <w:sz w:val="32"/>
          <w:szCs w:val="32"/>
        </w:rPr>
        <w:t>区域试验鲜穗产量比对照平均增产≥3</w:t>
      </w:r>
      <w:r>
        <w:rPr>
          <w:rFonts w:ascii="仿宋" w:eastAsia="仿宋_GB2312"/>
          <w:color w:val="000000"/>
          <w:sz w:val="32"/>
          <w:szCs w:val="32"/>
        </w:rPr>
        <w:t>.0</w:t>
      </w:r>
      <w:r>
        <w:rPr>
          <w:rFonts w:hint="eastAsia" w:ascii="仿宋" w:eastAsia="仿宋_GB2312"/>
          <w:color w:val="000000"/>
          <w:sz w:val="32"/>
          <w:szCs w:val="32"/>
        </w:rPr>
        <w:t>%，增产点比率≥</w:t>
      </w:r>
      <w:r>
        <w:rPr>
          <w:rFonts w:hint="eastAsia" w:ascii="仿宋" w:eastAsia="仿宋_GB2312"/>
          <w:color w:val="000000"/>
          <w:sz w:val="32"/>
          <w:szCs w:val="32"/>
          <w:lang w:val="en-US" w:eastAsia="zh-CN"/>
        </w:rPr>
        <w:t>6</w:t>
      </w:r>
      <w:r>
        <w:rPr>
          <w:rFonts w:hint="eastAsia" w:ascii="仿宋" w:eastAsia="仿宋_GB2312"/>
          <w:color w:val="000000"/>
          <w:sz w:val="32"/>
          <w:szCs w:val="32"/>
        </w:rPr>
        <w:t>0</w:t>
      </w:r>
      <w:r>
        <w:rPr>
          <w:rFonts w:ascii="仿宋" w:eastAsia="仿宋_GB2312"/>
          <w:color w:val="000000"/>
          <w:sz w:val="32"/>
          <w:szCs w:val="32"/>
        </w:rPr>
        <w:t>.0</w:t>
      </w:r>
      <w:r>
        <w:rPr>
          <w:rFonts w:hint="eastAsia" w:ascii="仿宋" w:eastAsia="仿宋_GB2312"/>
          <w:color w:val="000000"/>
          <w:sz w:val="32"/>
          <w:szCs w:val="32"/>
        </w:rPr>
        <w:t>%。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firstLine="642" w:firstLineChars="200"/>
        <w:rPr>
          <w:rFonts w:ascii="仿宋" w:eastAsia="仿宋_GB2312" w:cs="宋体"/>
          <w:b/>
          <w:bCs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eastAsia="仿宋_GB2312" w:cs="宋体"/>
          <w:b/>
          <w:bCs/>
          <w:color w:val="000000"/>
          <w:kern w:val="0"/>
          <w:sz w:val="32"/>
          <w:szCs w:val="32"/>
          <w:lang w:val="en-US" w:eastAsia="zh-CN" w:bidi="ar-SA"/>
        </w:rPr>
        <w:t>2.2抗病品种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rPr>
          <w:rFonts w:ascii="仿宋" w:eastAsia="仿宋_GB2312"/>
          <w:color w:val="000000"/>
          <w:kern w:val="0"/>
          <w:sz w:val="32"/>
          <w:szCs w:val="32"/>
        </w:rPr>
      </w:pPr>
      <w:r>
        <w:rPr>
          <w:rFonts w:hint="eastAsia" w:ascii="仿宋" w:eastAsia="仿宋_GB2312"/>
          <w:color w:val="000000"/>
          <w:kern w:val="0"/>
          <w:sz w:val="32"/>
          <w:szCs w:val="32"/>
        </w:rPr>
        <w:t>纹枯病</w:t>
      </w:r>
      <w:r>
        <w:rPr>
          <w:rFonts w:hint="eastAsia" w:ascii="仿宋" w:eastAsia="仿宋_GB2312"/>
          <w:color w:val="000000"/>
          <w:kern w:val="0"/>
          <w:sz w:val="32"/>
          <w:szCs w:val="32"/>
          <w:lang w:eastAsia="zh-CN"/>
        </w:rPr>
        <w:t>、</w:t>
      </w:r>
      <w:r>
        <w:rPr>
          <w:rFonts w:ascii="仿宋" w:eastAsia="仿宋_GB2312"/>
          <w:color w:val="000000"/>
          <w:sz w:val="32"/>
          <w:szCs w:val="32"/>
        </w:rPr>
        <w:t>小斑</w:t>
      </w:r>
      <w:r>
        <w:rPr>
          <w:rFonts w:hint="eastAsia" w:ascii="仿宋" w:eastAsia="仿宋_GB2312"/>
          <w:color w:val="000000"/>
          <w:sz w:val="32"/>
          <w:szCs w:val="32"/>
        </w:rPr>
        <w:t>病</w:t>
      </w:r>
      <w:r>
        <w:rPr>
          <w:rFonts w:ascii="仿宋" w:eastAsia="仿宋_GB2312"/>
          <w:color w:val="000000"/>
          <w:sz w:val="32"/>
          <w:szCs w:val="32"/>
        </w:rPr>
        <w:t>、南方锈病</w:t>
      </w:r>
      <w:r>
        <w:rPr>
          <w:rFonts w:hint="eastAsia" w:ascii="仿宋" w:eastAsia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" w:eastAsia="仿宋_GB2312"/>
          <w:color w:val="000000"/>
          <w:sz w:val="32"/>
          <w:szCs w:val="32"/>
        </w:rPr>
        <w:t>大</w:t>
      </w:r>
      <w:r>
        <w:rPr>
          <w:rFonts w:ascii="仿宋" w:eastAsia="仿宋_GB2312"/>
          <w:color w:val="000000"/>
          <w:sz w:val="32"/>
          <w:szCs w:val="32"/>
        </w:rPr>
        <w:t>斑病</w:t>
      </w:r>
      <w:r>
        <w:rPr>
          <w:rFonts w:hint="eastAsia" w:ascii="仿宋" w:eastAsia="仿宋_GB2312"/>
          <w:color w:val="000000"/>
          <w:kern w:val="0"/>
          <w:sz w:val="32"/>
          <w:szCs w:val="32"/>
        </w:rPr>
        <w:t>田间自然发病均达到抗及以上，接菌</w:t>
      </w:r>
      <w:r>
        <w:rPr>
          <w:rFonts w:hint="eastAsia" w:ascii="仿宋" w:eastAsia="仿宋_GB2312"/>
          <w:color w:val="000000"/>
          <w:kern w:val="0"/>
          <w:sz w:val="32"/>
          <w:szCs w:val="32"/>
          <w:lang w:eastAsia="zh-CN"/>
        </w:rPr>
        <w:t>鉴定均</w:t>
      </w:r>
      <w:r>
        <w:rPr>
          <w:rFonts w:hint="eastAsia" w:ascii="仿宋" w:eastAsia="仿宋_GB2312"/>
          <w:color w:val="000000"/>
          <w:kern w:val="0"/>
          <w:sz w:val="32"/>
          <w:szCs w:val="32"/>
        </w:rPr>
        <w:t>达到中抗及以上</w:t>
      </w:r>
      <w:r>
        <w:rPr>
          <w:rFonts w:ascii="仿宋" w:eastAsia="仿宋_GB2312"/>
          <w:color w:val="000000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firstLine="642" w:firstLineChars="200"/>
        <w:rPr>
          <w:rFonts w:ascii="仿宋" w:eastAsia="仿宋_GB2312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仿宋" w:eastAsia="仿宋_GB2312" w:cs="宋体"/>
          <w:b/>
          <w:bCs/>
          <w:color w:val="000000"/>
          <w:kern w:val="0"/>
          <w:sz w:val="32"/>
          <w:szCs w:val="32"/>
        </w:rPr>
        <w:t>2.3优质品种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firstLine="640" w:firstLineChars="200"/>
        <w:rPr>
          <w:rFonts w:ascii="仿宋" w:eastAsia="仿宋_GB2312"/>
          <w:color w:val="000000"/>
          <w:sz w:val="32"/>
          <w:szCs w:val="32"/>
        </w:rPr>
      </w:pPr>
      <w:r>
        <w:rPr>
          <w:rFonts w:ascii="仿宋" w:eastAsia="仿宋_GB2312"/>
          <w:color w:val="000000"/>
          <w:sz w:val="32"/>
          <w:szCs w:val="32"/>
        </w:rPr>
        <w:t>品质鉴评分</w:t>
      </w:r>
      <w:r>
        <w:rPr>
          <w:rFonts w:hint="eastAsia" w:ascii="仿宋" w:eastAsia="仿宋_GB2312"/>
          <w:color w:val="000000"/>
          <w:sz w:val="32"/>
          <w:szCs w:val="32"/>
        </w:rPr>
        <w:t>≥8</w:t>
      </w:r>
      <w:r>
        <w:rPr>
          <w:rFonts w:hint="eastAsia" w:ascii="仿宋" w:eastAsia="仿宋_GB2312"/>
          <w:color w:val="000000"/>
          <w:sz w:val="32"/>
          <w:szCs w:val="32"/>
          <w:lang w:val="en-US" w:eastAsia="zh-CN"/>
        </w:rPr>
        <w:t>7</w:t>
      </w:r>
      <w:r>
        <w:rPr>
          <w:rFonts w:hint="eastAsia" w:ascii="仿宋" w:eastAsia="仿宋_GB2312"/>
          <w:color w:val="000000"/>
          <w:sz w:val="32"/>
          <w:szCs w:val="32"/>
        </w:rPr>
        <w:t>.</w:t>
      </w:r>
      <w:r>
        <w:rPr>
          <w:rFonts w:hint="eastAsia" w:ascii="仿宋" w:eastAsia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" w:eastAsia="仿宋_GB2312"/>
          <w:color w:val="000000"/>
          <w:sz w:val="32"/>
          <w:szCs w:val="32"/>
        </w:rPr>
        <w:t>分</w:t>
      </w:r>
      <w:r>
        <w:rPr>
          <w:rFonts w:ascii="仿宋" w:eastAsia="仿宋_GB2312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firstLine="642" w:firstLineChars="200"/>
        <w:rPr>
          <w:rFonts w:ascii="仿宋" w:eastAsia="仿宋_GB2312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仿宋" w:eastAsia="仿宋_GB2312" w:cs="宋体"/>
          <w:b/>
          <w:bCs/>
          <w:color w:val="000000"/>
          <w:kern w:val="0"/>
          <w:sz w:val="32"/>
          <w:szCs w:val="32"/>
        </w:rPr>
        <w:t>2.4早熟品种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firstLine="640" w:firstLineChars="200"/>
        <w:rPr>
          <w:rFonts w:ascii="仿宋" w:eastAsia="仿宋_GB2312"/>
          <w:color w:val="FF0000"/>
          <w:sz w:val="32"/>
          <w:szCs w:val="32"/>
        </w:rPr>
      </w:pPr>
      <w:r>
        <w:rPr>
          <w:rFonts w:hint="eastAsia" w:ascii="仿宋" w:eastAsia="仿宋_GB2312"/>
          <w:color w:val="000000"/>
          <w:sz w:val="32"/>
          <w:szCs w:val="32"/>
        </w:rPr>
        <w:t>生育期</w:t>
      </w:r>
      <w:r>
        <w:rPr>
          <w:rFonts w:hint="eastAsia" w:ascii="仿宋" w:eastAsia="仿宋_GB2312"/>
          <w:color w:val="000000"/>
          <w:sz w:val="32"/>
          <w:szCs w:val="32"/>
          <w:lang w:eastAsia="zh-CN"/>
        </w:rPr>
        <w:t>甜玉米</w:t>
      </w:r>
      <w:r>
        <w:rPr>
          <w:rFonts w:hint="eastAsia" w:ascii="仿宋" w:eastAsia="仿宋_GB2312"/>
          <w:color w:val="000000"/>
          <w:sz w:val="32"/>
          <w:szCs w:val="32"/>
        </w:rPr>
        <w:t>比对照早熟≥</w:t>
      </w:r>
      <w:r>
        <w:rPr>
          <w:rFonts w:hint="eastAsia" w:ascii="仿宋" w:eastAsia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" w:eastAsia="仿宋_GB2312"/>
          <w:color w:val="000000"/>
          <w:sz w:val="32"/>
          <w:szCs w:val="32"/>
        </w:rPr>
        <w:t>.0</w:t>
      </w:r>
      <w:r>
        <w:rPr>
          <w:rFonts w:hint="eastAsia" w:ascii="仿宋" w:eastAsia="仿宋_GB2312"/>
          <w:color w:val="000000"/>
          <w:sz w:val="32"/>
          <w:szCs w:val="32"/>
        </w:rPr>
        <w:t>天</w:t>
      </w:r>
      <w:r>
        <w:rPr>
          <w:rFonts w:hint="eastAsia" w:ascii="仿宋" w:eastAsia="仿宋_GB2312"/>
          <w:color w:val="000000"/>
          <w:sz w:val="32"/>
          <w:szCs w:val="32"/>
          <w:lang w:val="en-US" w:eastAsia="zh-CN"/>
        </w:rPr>
        <w:t>,糯玉米</w:t>
      </w:r>
      <w:r>
        <w:rPr>
          <w:rFonts w:hint="eastAsia" w:ascii="仿宋" w:eastAsia="仿宋_GB2312"/>
          <w:color w:val="000000"/>
          <w:sz w:val="32"/>
          <w:szCs w:val="32"/>
        </w:rPr>
        <w:t>比对照早熟≥</w:t>
      </w:r>
      <w:r>
        <w:rPr>
          <w:rFonts w:hint="eastAsia" w:ascii="仿宋" w:eastAsia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" w:eastAsia="仿宋_GB2312"/>
          <w:color w:val="000000"/>
          <w:sz w:val="32"/>
          <w:szCs w:val="32"/>
        </w:rPr>
        <w:t>.0</w:t>
      </w:r>
      <w:r>
        <w:rPr>
          <w:rFonts w:hint="eastAsia" w:ascii="仿宋" w:eastAsia="仿宋_GB2312"/>
          <w:color w:val="000000"/>
          <w:sz w:val="32"/>
          <w:szCs w:val="32"/>
        </w:rPr>
        <w:t>天。</w:t>
      </w:r>
      <w:r>
        <w:rPr>
          <w:rFonts w:hint="eastAsia" w:ascii="仿宋" w:eastAsia="仿宋_GB2312"/>
          <w:color w:val="000000"/>
          <w:sz w:val="32"/>
          <w:szCs w:val="32"/>
        </w:rPr>
        <w:t>当区试对照品种进行更换时，由专业委员会对相应生育期指标作出调整。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2" w:firstLineChars="200"/>
        <w:textAlignment w:val="auto"/>
        <w:rPr>
          <w:rFonts w:hint="default" w:ascii="仿宋" w:eastAsia="仿宋_GB2312" w:cs="宋体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eastAsia="仿宋_GB2312" w:cs="宋体"/>
          <w:b/>
          <w:bCs/>
          <w:color w:val="000000"/>
          <w:kern w:val="0"/>
          <w:sz w:val="32"/>
          <w:szCs w:val="32"/>
          <w:lang w:val="en-US" w:eastAsia="zh-CN" w:bidi="ar-SA"/>
        </w:rPr>
        <w:t>2.5各分类品种</w:t>
      </w:r>
      <w:r>
        <w:rPr>
          <w:rFonts w:ascii="仿宋" w:eastAsia="仿宋_GB2312" w:cs="宋体"/>
          <w:b/>
          <w:bCs/>
          <w:color w:val="000000"/>
          <w:kern w:val="0"/>
          <w:sz w:val="32"/>
          <w:szCs w:val="32"/>
          <w:lang w:val="en-US" w:eastAsia="zh-CN" w:bidi="ar-SA"/>
        </w:rPr>
        <w:t>审定</w:t>
      </w:r>
      <w:r>
        <w:rPr>
          <w:rFonts w:hint="eastAsia" w:ascii="仿宋" w:eastAsia="仿宋_GB2312" w:cs="宋体"/>
          <w:b/>
          <w:bCs/>
          <w:color w:val="000000"/>
          <w:kern w:val="0"/>
          <w:sz w:val="32"/>
          <w:szCs w:val="32"/>
          <w:lang w:val="en-US" w:eastAsia="zh-CN" w:bidi="ar-SA"/>
        </w:rPr>
        <w:t>指标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rPr>
          <w:rFonts w:ascii="仿宋" w:eastAsia="仿宋_GB2312" w:cs="宋体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eastAsia="仿宋_GB2312" w:cs="宋体"/>
          <w:color w:val="000000"/>
          <w:kern w:val="0"/>
          <w:sz w:val="32"/>
          <w:szCs w:val="32"/>
          <w:lang w:val="en-US" w:eastAsia="zh-CN" w:bidi="ar-SA"/>
        </w:rPr>
        <w:t>具体见</w:t>
      </w:r>
      <w:r>
        <w:rPr>
          <w:rFonts w:ascii="仿宋" w:eastAsia="仿宋_GB2312" w:cs="宋体"/>
          <w:color w:val="000000"/>
          <w:kern w:val="0"/>
          <w:sz w:val="32"/>
          <w:szCs w:val="32"/>
          <w:lang w:val="en-US" w:eastAsia="zh-CN" w:bidi="ar-SA"/>
        </w:rPr>
        <w:t>附</w:t>
      </w:r>
      <w:r>
        <w:rPr>
          <w:rFonts w:hint="eastAsia" w:ascii="仿宋" w:eastAsia="仿宋_GB2312" w:cs="宋体"/>
          <w:color w:val="000000"/>
          <w:kern w:val="0"/>
          <w:sz w:val="32"/>
          <w:szCs w:val="32"/>
          <w:lang w:val="en-US" w:eastAsia="zh-CN" w:bidi="ar-SA"/>
        </w:rPr>
        <w:t>表</w:t>
      </w:r>
      <w:r>
        <w:rPr>
          <w:rFonts w:ascii="仿宋" w:eastAsia="仿宋_GB2312" w:cs="宋体"/>
          <w:color w:val="000000"/>
          <w:kern w:val="0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rPr>
          <w:rFonts w:ascii="仿宋" w:eastAsia="仿宋_GB2312" w:cs="宋体"/>
          <w:b/>
          <w:color w:val="000000"/>
          <w:kern w:val="0"/>
          <w:sz w:val="30"/>
          <w:szCs w:val="30"/>
          <w:lang w:bidi="ar-SA"/>
        </w:rPr>
      </w:pPr>
      <w:r>
        <w:rPr>
          <w:rFonts w:ascii="仿宋" w:eastAsia="仿宋_GB2312" w:cs="宋体"/>
          <w:b/>
          <w:color w:val="000000"/>
          <w:kern w:val="0"/>
          <w:sz w:val="30"/>
          <w:szCs w:val="30"/>
          <w:lang w:bidi="ar-SA"/>
        </w:rPr>
        <w:br w:type="page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left"/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lang w:eastAsia="zh-CN" w:bidi="ar-SA"/>
        </w:rPr>
      </w:pPr>
      <w:bookmarkStart w:id="0" w:name="_GoBack"/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lang w:bidi="ar-SA"/>
        </w:rPr>
        <w:t>附</w:t>
      </w: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lang w:eastAsia="zh-CN" w:bidi="ar-SA"/>
        </w:rPr>
        <w:t>表</w:t>
      </w:r>
    </w:p>
    <w:bookmarkEnd w:id="0"/>
    <w:p>
      <w:pPr>
        <w:adjustRightInd w:val="0"/>
        <w:snapToGrid w:val="0"/>
        <w:spacing w:line="460" w:lineRule="exact"/>
        <w:jc w:val="left"/>
        <w:rPr>
          <w:rFonts w:ascii="仿宋" w:eastAsia="仿宋_GB2312" w:cs="宋体"/>
          <w:b/>
          <w:color w:val="000000"/>
          <w:kern w:val="0"/>
          <w:sz w:val="30"/>
          <w:szCs w:val="30"/>
          <w:lang w:bidi="ar-SA"/>
        </w:rPr>
      </w:pPr>
    </w:p>
    <w:p>
      <w:pPr>
        <w:adjustRightInd w:val="0"/>
        <w:snapToGrid w:val="0"/>
        <w:spacing w:line="4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lang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lang w:bidi="ar-SA"/>
        </w:rPr>
        <w:t>福建省鲜食甜、糯玉米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lang w:eastAsia="zh-CN" w:bidi="ar-SA"/>
        </w:rPr>
        <w:t>分类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lang w:bidi="ar-SA"/>
        </w:rPr>
        <w:t>品种审定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lang w:eastAsia="zh-CN" w:bidi="ar-SA"/>
        </w:rPr>
        <w:t>指标</w:t>
      </w:r>
    </w:p>
    <w:tbl>
      <w:tblPr>
        <w:tblStyle w:val="4"/>
        <w:tblpPr w:leftFromText="180" w:rightFromText="180" w:vertAnchor="text" w:horzAnchor="page" w:tblpX="1887" w:tblpY="165"/>
        <w:tblOverlap w:val="never"/>
        <w:tblW w:w="870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702"/>
        <w:gridCol w:w="1120"/>
        <w:gridCol w:w="1200"/>
        <w:gridCol w:w="1453"/>
        <w:gridCol w:w="1873"/>
        <w:gridCol w:w="15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888" w:hRule="atLeast"/>
        </w:trPr>
        <w:tc>
          <w:tcPr>
            <w:tcW w:w="1540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类型</w:t>
            </w:r>
          </w:p>
        </w:tc>
        <w:tc>
          <w:tcPr>
            <w:tcW w:w="232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产量指标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（与对照比较）</w:t>
            </w:r>
          </w:p>
        </w:tc>
        <w:tc>
          <w:tcPr>
            <w:tcW w:w="1453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品质指标</w:t>
            </w:r>
          </w:p>
        </w:tc>
        <w:tc>
          <w:tcPr>
            <w:tcW w:w="1873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抗性指标</w:t>
            </w:r>
          </w:p>
        </w:tc>
        <w:tc>
          <w:tcPr>
            <w:tcW w:w="1519" w:type="dxa"/>
            <w:vMerge w:val="restart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生育期指标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0" w:hRule="atLeast"/>
        </w:trPr>
        <w:tc>
          <w:tcPr>
            <w:tcW w:w="1540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年度+%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年度增产点率%</w:t>
            </w:r>
          </w:p>
        </w:tc>
        <w:tc>
          <w:tcPr>
            <w:tcW w:w="1453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3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9" w:type="dxa"/>
            <w:vMerge w:val="continue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420" w:hRule="atLeast"/>
        </w:trPr>
        <w:tc>
          <w:tcPr>
            <w:tcW w:w="8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1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1"/>
                <w:kern w:val="0"/>
                <w:sz w:val="24"/>
                <w:szCs w:val="24"/>
                <w:u w:val="none"/>
                <w:lang w:val="en-US" w:eastAsia="zh-CN" w:bidi="ar"/>
              </w:rPr>
              <w:t>高产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1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1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1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1"/>
                <w:kern w:val="0"/>
                <w:sz w:val="24"/>
                <w:szCs w:val="24"/>
                <w:u w:val="none"/>
                <w:lang w:val="en-US" w:eastAsia="zh-CN" w:bidi="ar"/>
              </w:rPr>
              <w:t>≥</w:t>
            </w: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3.0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1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1"/>
                <w:kern w:val="0"/>
                <w:sz w:val="24"/>
                <w:szCs w:val="24"/>
                <w:u w:val="none"/>
                <w:lang w:val="en-US" w:eastAsia="zh-CN" w:bidi="ar"/>
              </w:rPr>
              <w:t>≥6</w:t>
            </w: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0.0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1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品质鉴评分85.0～87.4分</w:t>
            </w:r>
          </w:p>
        </w:tc>
        <w:tc>
          <w:tcPr>
            <w:tcW w:w="18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纹枯病、小斑病、南方锈病、大斑病田间自然发病未达到高感。</w:t>
            </w:r>
          </w:p>
        </w:tc>
        <w:tc>
          <w:tcPr>
            <w:tcW w:w="1519" w:type="dxa"/>
            <w:vMerge w:val="restart"/>
            <w:tcBorders>
              <w:top w:val="single" w:color="000000" w:sz="8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生育期比对照迟熟，或甜玉米比对照早熟3.0天内、糯玉米比对照早熟5.0天内。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010" w:hRule="atLeast"/>
        </w:trPr>
        <w:tc>
          <w:tcPr>
            <w:tcW w:w="838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1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1"/>
                <w:kern w:val="0"/>
                <w:sz w:val="24"/>
                <w:szCs w:val="24"/>
                <w:u w:val="none"/>
                <w:lang w:val="en-US" w:eastAsia="zh-CN" w:bidi="ar"/>
              </w:rPr>
              <w:t>抗病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1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1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1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1"/>
                <w:kern w:val="0"/>
                <w:sz w:val="24"/>
                <w:szCs w:val="24"/>
                <w:u w:val="none"/>
                <w:lang w:val="en-US" w:eastAsia="zh-CN" w:bidi="ar"/>
              </w:rPr>
              <w:t>≥</w:t>
            </w: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-3.0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品质鉴评分≥85.0分</w:t>
            </w:r>
          </w:p>
        </w:tc>
        <w:tc>
          <w:tcPr>
            <w:tcW w:w="187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纹枯病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、小斑病、南方锈病、大斑病田间自然发病均达到抗及以上，接菌鉴定均达到中抗及以上。</w:t>
            </w:r>
          </w:p>
        </w:tc>
        <w:tc>
          <w:tcPr>
            <w:tcW w:w="1519" w:type="dxa"/>
            <w:vMerge w:val="continue"/>
            <w:tcBorders>
              <w:top w:val="single" w:color="000000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85" w:hRule="atLeast"/>
        </w:trPr>
        <w:tc>
          <w:tcPr>
            <w:tcW w:w="8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1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1"/>
                <w:kern w:val="0"/>
                <w:sz w:val="24"/>
                <w:szCs w:val="24"/>
                <w:u w:val="none"/>
                <w:lang w:val="en-US" w:eastAsia="zh-CN" w:bidi="ar"/>
              </w:rPr>
              <w:t>优质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1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1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1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1"/>
                <w:kern w:val="0"/>
                <w:sz w:val="24"/>
                <w:szCs w:val="24"/>
                <w:u w:val="none"/>
                <w:lang w:val="en-US" w:eastAsia="zh-CN" w:bidi="ar"/>
              </w:rPr>
              <w:t>≥</w:t>
            </w: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-</w:t>
            </w: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3.0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品质较优，品质鉴评分87.5～89.9分</w:t>
            </w:r>
          </w:p>
        </w:tc>
        <w:tc>
          <w:tcPr>
            <w:tcW w:w="1873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纹枯病、小斑病、南方锈病、大斑病田间自然发病未达到高感。</w:t>
            </w:r>
          </w:p>
        </w:tc>
        <w:tc>
          <w:tcPr>
            <w:tcW w:w="151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5" w:hRule="atLeast"/>
        </w:trPr>
        <w:tc>
          <w:tcPr>
            <w:tcW w:w="8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1"/>
                <w:sz w:val="24"/>
                <w:szCs w:val="24"/>
                <w:u w:val="none"/>
              </w:rPr>
            </w:pP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1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1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1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1"/>
                <w:kern w:val="0"/>
                <w:sz w:val="24"/>
                <w:szCs w:val="24"/>
                <w:u w:val="none"/>
                <w:lang w:val="en-US" w:eastAsia="zh-CN" w:bidi="ar"/>
              </w:rPr>
              <w:t>≥</w:t>
            </w: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-</w:t>
            </w: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10.0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1"/>
                <w:sz w:val="24"/>
                <w:szCs w:val="24"/>
                <w:u w:val="none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品质优，品质鉴评分≥90.0分</w:t>
            </w:r>
          </w:p>
        </w:tc>
        <w:tc>
          <w:tcPr>
            <w:tcW w:w="187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80" w:hRule="atLeast"/>
        </w:trPr>
        <w:tc>
          <w:tcPr>
            <w:tcW w:w="83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1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1"/>
                <w:kern w:val="0"/>
                <w:sz w:val="24"/>
                <w:szCs w:val="24"/>
                <w:u w:val="none"/>
                <w:lang w:val="en-US" w:eastAsia="zh-CN" w:bidi="ar"/>
              </w:rPr>
              <w:t>早熟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1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1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1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1"/>
                <w:kern w:val="0"/>
                <w:sz w:val="24"/>
                <w:szCs w:val="24"/>
                <w:u w:val="none"/>
                <w:lang w:val="en-US" w:eastAsia="zh-CN" w:bidi="ar"/>
              </w:rPr>
              <w:t>≥</w:t>
            </w: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-3.0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1"/>
                <w:sz w:val="24"/>
                <w:szCs w:val="24"/>
                <w:u w:val="none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品质鉴评分85.0～87.4分</w:t>
            </w:r>
          </w:p>
        </w:tc>
        <w:tc>
          <w:tcPr>
            <w:tcW w:w="18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纹枯病、小斑病、南方锈病、大斑病田间自然发病未达到高感。</w:t>
            </w:r>
          </w:p>
        </w:tc>
        <w:tc>
          <w:tcPr>
            <w:tcW w:w="15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生育期甜玉米比对照早熟≥3.0天，糯玉米比对照早熟≥5.0天。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15" w:hRule="atLeast"/>
        </w:trPr>
        <w:tc>
          <w:tcPr>
            <w:tcW w:w="8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1"/>
                <w:sz w:val="24"/>
                <w:szCs w:val="24"/>
                <w:u w:val="none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1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1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1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1"/>
                <w:kern w:val="0"/>
                <w:sz w:val="24"/>
                <w:szCs w:val="24"/>
                <w:u w:val="none"/>
                <w:lang w:val="en-US" w:eastAsia="zh-CN" w:bidi="ar"/>
              </w:rPr>
              <w:t>≥</w:t>
            </w: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-10.0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品质较优，品质鉴评分87.5～89.9分</w:t>
            </w:r>
          </w:p>
        </w:tc>
        <w:tc>
          <w:tcPr>
            <w:tcW w:w="18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50" w:hRule="atLeast"/>
        </w:trPr>
        <w:tc>
          <w:tcPr>
            <w:tcW w:w="8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1"/>
                <w:sz w:val="24"/>
                <w:szCs w:val="24"/>
                <w:u w:val="none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1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1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1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1"/>
                <w:kern w:val="0"/>
                <w:sz w:val="24"/>
                <w:szCs w:val="24"/>
                <w:u w:val="none"/>
                <w:lang w:val="en-US" w:eastAsia="zh-CN" w:bidi="ar"/>
              </w:rPr>
              <w:t>≥</w:t>
            </w: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-</w:t>
            </w: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16.0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1"/>
                <w:sz w:val="24"/>
                <w:szCs w:val="24"/>
                <w:u w:val="none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品质优，品质鉴评分≥90.0分</w:t>
            </w:r>
          </w:p>
        </w:tc>
        <w:tc>
          <w:tcPr>
            <w:tcW w:w="18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5" w:hRule="atLeast"/>
        </w:trPr>
        <w:tc>
          <w:tcPr>
            <w:tcW w:w="8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1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1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  <w:tc>
          <w:tcPr>
            <w:tcW w:w="7867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1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1"/>
                <w:kern w:val="0"/>
                <w:sz w:val="24"/>
                <w:szCs w:val="24"/>
                <w:u w:val="none"/>
                <w:lang w:val="en-US" w:eastAsia="zh-CN" w:bidi="ar"/>
              </w:rPr>
              <w:t>当对照产量低于组平均产量时，以组平均产量作为产量对照指标</w:t>
            </w:r>
          </w:p>
        </w:tc>
      </w:tr>
    </w:tbl>
    <w:p/>
    <w:sectPr>
      <w:pgSz w:w="11906" w:h="16838"/>
      <w:pgMar w:top="1984" w:right="1361" w:bottom="141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BE7D2A"/>
    <w:rsid w:val="3D5F42FA"/>
    <w:rsid w:val="46BEFCFE"/>
    <w:rsid w:val="7BBE7D2A"/>
    <w:rsid w:val="B33E38AB"/>
    <w:rsid w:val="FDF5E836"/>
    <w:rsid w:val="FEFD0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0"/>
    <w:pPr>
      <w:ind w:left="630" w:firstLine="0"/>
    </w:pPr>
  </w:style>
  <w:style w:type="paragraph" w:styleId="3">
    <w:name w:val="Normal (Web)"/>
    <w:next w:val="2"/>
    <w:qFormat/>
    <w:uiPriority w:val="0"/>
    <w:pPr>
      <w:widowControl/>
      <w:spacing w:before="100" w:beforeAutospacing="1" w:after="100" w:afterAutospacing="1"/>
      <w:jc w:val="left"/>
    </w:pPr>
    <w:rPr>
      <w:rFonts w:ascii="宋体" w:hAnsi="Times New Roman" w:eastAsia="宋体" w:cs="宋体"/>
      <w:kern w:val="0"/>
      <w:sz w:val="24"/>
      <w:szCs w:val="24"/>
      <w:lang w:val="en-US" w:eastAsia="zh-CN" w:bidi="ar-SA"/>
    </w:rPr>
  </w:style>
  <w:style w:type="character" w:customStyle="1" w:styleId="6">
    <w:name w:val="font21"/>
    <w:basedOn w:val="5"/>
    <w:qFormat/>
    <w:uiPriority w:val="0"/>
    <w:rPr>
      <w:rFonts w:hint="default" w:ascii="仿宋" w:hAnsi="仿宋" w:eastAsia="仿宋" w:cs="仿宋"/>
      <w:color w:val="000001"/>
      <w:sz w:val="24"/>
      <w:szCs w:val="24"/>
      <w:u w:val="none"/>
    </w:rPr>
  </w:style>
  <w:style w:type="character" w:customStyle="1" w:styleId="7">
    <w:name w:val="font01"/>
    <w:basedOn w:val="5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8">
    <w:name w:val="font11"/>
    <w:basedOn w:val="5"/>
    <w:qFormat/>
    <w:uiPriority w:val="0"/>
    <w:rPr>
      <w:rFonts w:hint="default"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2024-02-29T00:48:00Z</dcterms:created>
  <dc:creator>滕振勇</dc:creator>
  <cp:lastModifiedBy>陈桐彤</cp:lastModifiedBy>
  <dcterms:modified xsi:type="dcterms:W3CDTF">2024-03-01T16:19:18Z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